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24021346" w:rsidR="00641054" w:rsidRDefault="00436756">
      <w:pPr>
        <w:autoSpaceDE/>
        <w:autoSpaceDN/>
        <w:adjustRightInd/>
        <w:spacing w:after="0"/>
        <w:jc w:val="left"/>
      </w:pPr>
      <w:r>
        <w:rPr>
          <w:noProof/>
        </w:rPr>
        <mc:AlternateContent>
          <mc:Choice Requires="wps">
            <w:drawing>
              <wp:anchor distT="0" distB="0" distL="114300" distR="114300" simplePos="0" relativeHeight="251658240" behindDoc="0" locked="0" layoutInCell="1" allowOverlap="1" wp14:anchorId="71C8EE14" wp14:editId="7EAA3C9E">
                <wp:simplePos x="0" y="0"/>
                <wp:positionH relativeFrom="column">
                  <wp:posOffset>217805</wp:posOffset>
                </wp:positionH>
                <wp:positionV relativeFrom="paragraph">
                  <wp:posOffset>5133340</wp:posOffset>
                </wp:positionV>
                <wp:extent cx="6542405" cy="219329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wps:spPr>
                      <wps:txbx>
                        <w:txbxContent>
                          <w:p w14:paraId="543D2D54" w14:textId="77777777" w:rsidR="000F78F1" w:rsidRPr="00606EEB" w:rsidRDefault="000F78F1" w:rsidP="000F78F1">
                            <w:pPr>
                              <w:spacing w:after="0"/>
                              <w:ind w:right="-46"/>
                              <w:rPr>
                                <w:rFonts w:cs="Arial"/>
                                <w:b/>
                                <w:bCs/>
                                <w:sz w:val="52"/>
                                <w:szCs w:val="52"/>
                              </w:rPr>
                            </w:pPr>
                            <w:r w:rsidRPr="00606EEB">
                              <w:rPr>
                                <w:rFonts w:cs="Arial"/>
                                <w:b/>
                                <w:bCs/>
                                <w:sz w:val="52"/>
                                <w:szCs w:val="52"/>
                              </w:rPr>
                              <w:t>Money Matters</w:t>
                            </w:r>
                          </w:p>
                          <w:p w14:paraId="4A00D6B1" w14:textId="77777777" w:rsidR="000F78F1" w:rsidRPr="00606EEB" w:rsidRDefault="000F78F1" w:rsidP="000F78F1">
                            <w:pPr>
                              <w:spacing w:after="0"/>
                              <w:ind w:right="-46"/>
                              <w:rPr>
                                <w:rFonts w:cs="Arial"/>
                                <w:b/>
                                <w:bCs/>
                                <w:sz w:val="52"/>
                                <w:szCs w:val="52"/>
                              </w:rPr>
                            </w:pPr>
                            <w:r w:rsidRPr="00606EEB">
                              <w:rPr>
                                <w:rFonts w:cs="Arial"/>
                                <w:b/>
                                <w:bCs/>
                                <w:sz w:val="52"/>
                                <w:szCs w:val="52"/>
                              </w:rPr>
                              <w:t xml:space="preserve">The County Council's Revenue Financial Position </w:t>
                            </w:r>
                          </w:p>
                          <w:p w14:paraId="1D3922B6" w14:textId="30FB594D" w:rsidR="000F78F1" w:rsidRDefault="000F78F1" w:rsidP="000F78F1">
                            <w:pPr>
                              <w:spacing w:after="0"/>
                              <w:ind w:right="-46"/>
                              <w:rPr>
                                <w:rFonts w:cs="Arial"/>
                                <w:b/>
                                <w:bCs/>
                                <w:sz w:val="52"/>
                                <w:szCs w:val="52"/>
                              </w:rPr>
                            </w:pPr>
                            <w:r>
                              <w:rPr>
                                <w:rFonts w:cs="Arial"/>
                                <w:b/>
                                <w:bCs/>
                                <w:sz w:val="52"/>
                                <w:szCs w:val="52"/>
                              </w:rPr>
                              <w:t>2022/23</w:t>
                            </w:r>
                            <w:r w:rsidRPr="00606EEB">
                              <w:rPr>
                                <w:rFonts w:cs="Arial"/>
                                <w:b/>
                                <w:bCs/>
                                <w:sz w:val="52"/>
                                <w:szCs w:val="52"/>
                              </w:rPr>
                              <w:t xml:space="preserve"> Quarter </w:t>
                            </w:r>
                            <w:r w:rsidR="00C75BA1">
                              <w:rPr>
                                <w:rFonts w:cs="Arial"/>
                                <w:b/>
                                <w:bCs/>
                                <w:sz w:val="52"/>
                                <w:szCs w:val="52"/>
                              </w:rPr>
                              <w:t>3</w:t>
                            </w:r>
                          </w:p>
                          <w:p w14:paraId="6AA6F3B2" w14:textId="77777777" w:rsidR="00DB6FF3" w:rsidRDefault="00DB6FF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EE14" id="_x0000_t202" coordsize="21600,21600" o:spt="202" path="m,l,21600r21600,l21600,xe">
                <v:stroke joinstyle="miter"/>
                <v:path gradientshapeok="t" o:connecttype="rect"/>
              </v:shapetype>
              <v:shape id="Text Box 7" o:spid="_x0000_s1026" type="#_x0000_t202" style="position:absolute;margin-left:17.15pt;margin-top:404.2pt;width:515.15pt;height:17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" filled="f" stroked="f">
                <o:lock v:ext="edit" aspectratio="t" verticies="t" text="t" shapetype="t"/>
                <v:textbox>
                  <w:txbxContent>
                    <w:p w14:paraId="543D2D54" w14:textId="77777777" w:rsidR="000F78F1" w:rsidRPr="00606EEB" w:rsidRDefault="000F78F1" w:rsidP="000F78F1">
                      <w:pPr>
                        <w:spacing w:after="0"/>
                        <w:ind w:right="-46"/>
                        <w:rPr>
                          <w:rFonts w:cs="Arial"/>
                          <w:b/>
                          <w:bCs/>
                          <w:sz w:val="52"/>
                          <w:szCs w:val="52"/>
                        </w:rPr>
                      </w:pPr>
                      <w:r w:rsidRPr="00606EEB">
                        <w:rPr>
                          <w:rFonts w:cs="Arial"/>
                          <w:b/>
                          <w:bCs/>
                          <w:sz w:val="52"/>
                          <w:szCs w:val="52"/>
                        </w:rPr>
                        <w:t>Money Matters</w:t>
                      </w:r>
                    </w:p>
                    <w:p w14:paraId="4A00D6B1" w14:textId="77777777" w:rsidR="000F78F1" w:rsidRPr="00606EEB" w:rsidRDefault="000F78F1" w:rsidP="000F78F1">
                      <w:pPr>
                        <w:spacing w:after="0"/>
                        <w:ind w:right="-46"/>
                        <w:rPr>
                          <w:rFonts w:cs="Arial"/>
                          <w:b/>
                          <w:bCs/>
                          <w:sz w:val="52"/>
                          <w:szCs w:val="52"/>
                        </w:rPr>
                      </w:pPr>
                      <w:r w:rsidRPr="00606EEB">
                        <w:rPr>
                          <w:rFonts w:cs="Arial"/>
                          <w:b/>
                          <w:bCs/>
                          <w:sz w:val="52"/>
                          <w:szCs w:val="52"/>
                        </w:rPr>
                        <w:t xml:space="preserve">The County Council's Revenue Financial Position </w:t>
                      </w:r>
                    </w:p>
                    <w:p w14:paraId="1D3922B6" w14:textId="30FB594D" w:rsidR="000F78F1" w:rsidRDefault="000F78F1" w:rsidP="000F78F1">
                      <w:pPr>
                        <w:spacing w:after="0"/>
                        <w:ind w:right="-46"/>
                        <w:rPr>
                          <w:rFonts w:cs="Arial"/>
                          <w:b/>
                          <w:bCs/>
                          <w:sz w:val="52"/>
                          <w:szCs w:val="52"/>
                        </w:rPr>
                      </w:pPr>
                      <w:r>
                        <w:rPr>
                          <w:rFonts w:cs="Arial"/>
                          <w:b/>
                          <w:bCs/>
                          <w:sz w:val="52"/>
                          <w:szCs w:val="52"/>
                        </w:rPr>
                        <w:t>2022/23</w:t>
                      </w:r>
                      <w:r w:rsidRPr="00606EEB">
                        <w:rPr>
                          <w:rFonts w:cs="Arial"/>
                          <w:b/>
                          <w:bCs/>
                          <w:sz w:val="52"/>
                          <w:szCs w:val="52"/>
                        </w:rPr>
                        <w:t xml:space="preserve"> Quarter </w:t>
                      </w:r>
                      <w:r w:rsidR="00C75BA1">
                        <w:rPr>
                          <w:rFonts w:cs="Arial"/>
                          <w:b/>
                          <w:bCs/>
                          <w:sz w:val="52"/>
                          <w:szCs w:val="52"/>
                        </w:rPr>
                        <w:t>3</w:t>
                      </w:r>
                    </w:p>
                    <w:p w14:paraId="6AA6F3B2" w14:textId="77777777" w:rsidR="00DB6FF3" w:rsidRDefault="00DB6FF3" w:rsidP="00F5519A"/>
                  </w:txbxContent>
                </v:textbox>
              </v:shape>
            </w:pict>
          </mc:Fallback>
        </mc:AlternateContent>
      </w:r>
    </w:p>
    <w:p w14:paraId="7F12A7C5" w14:textId="77777777" w:rsidR="00CA4C7E" w:rsidRPr="00CA4C7E" w:rsidRDefault="00CA4C7E" w:rsidP="00CA4C7E"/>
    <w:p w14:paraId="6BFD5650" w14:textId="77777777" w:rsidR="00CA4C7E" w:rsidRPr="00CA4C7E" w:rsidRDefault="00CA4C7E" w:rsidP="00CA4C7E"/>
    <w:p w14:paraId="230029F8" w14:textId="7B13FF3E"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even" r:id="rId11"/>
          <w:headerReference w:type="default" r:id="rId12"/>
          <w:footerReference w:type="even" r:id="rId13"/>
          <w:footerReference w:type="default" r:id="rId14"/>
          <w:headerReference w:type="first" r:id="rId15"/>
          <w:footerReference w:type="first" r:id="rId16"/>
          <w:pgSz w:w="11900" w:h="16840" w:code="9"/>
          <w:pgMar w:top="720" w:right="720" w:bottom="720" w:left="720" w:header="709" w:footer="709" w:gutter="0"/>
          <w:cols w:space="292"/>
          <w:titlePg/>
          <w:docGrid w:linePitch="326"/>
        </w:sectPr>
      </w:pPr>
    </w:p>
    <w:p w14:paraId="18F5A666" w14:textId="77777777" w:rsidR="006D7BB1" w:rsidRDefault="00BD6097" w:rsidP="00BD6097">
      <w:pPr>
        <w:pStyle w:val="TOCHeader"/>
        <w:rPr>
          <w:sz w:val="40"/>
          <w:szCs w:val="40"/>
        </w:rPr>
      </w:pPr>
      <w:bookmarkStart w:id="0" w:name="_Toc304199307"/>
      <w:r w:rsidRPr="00BD6097">
        <w:rPr>
          <w:sz w:val="40"/>
          <w:szCs w:val="40"/>
        </w:rPr>
        <w:lastRenderedPageBreak/>
        <w:t>Contents</w:t>
      </w:r>
    </w:p>
    <w:tbl>
      <w:tblPr>
        <w:tblStyle w:val="TableGrid"/>
        <w:tblW w:w="9105" w:type="dxa"/>
        <w:tblLook w:val="04A0" w:firstRow="1" w:lastRow="0" w:firstColumn="1" w:lastColumn="0" w:noHBand="0" w:noVBand="1"/>
      </w:tblPr>
      <w:tblGrid>
        <w:gridCol w:w="483"/>
        <w:gridCol w:w="7529"/>
        <w:gridCol w:w="1093"/>
      </w:tblGrid>
      <w:tr w:rsidR="000F78F1" w14:paraId="4DC93F76" w14:textId="77777777" w:rsidTr="009B132A">
        <w:trPr>
          <w:trHeight w:val="575"/>
        </w:trPr>
        <w:tc>
          <w:tcPr>
            <w:tcW w:w="483" w:type="dxa"/>
          </w:tcPr>
          <w:p w14:paraId="3C27E609" w14:textId="77777777" w:rsidR="000F78F1" w:rsidRPr="003C4389" w:rsidRDefault="000F78F1" w:rsidP="009B132A">
            <w:pPr>
              <w:ind w:right="-46"/>
              <w:jc w:val="center"/>
              <w:rPr>
                <w:rFonts w:cs="Arial"/>
                <w:b/>
                <w:bCs/>
              </w:rPr>
            </w:pPr>
          </w:p>
        </w:tc>
        <w:tc>
          <w:tcPr>
            <w:tcW w:w="7529" w:type="dxa"/>
            <w:vAlign w:val="center"/>
          </w:tcPr>
          <w:p w14:paraId="61B0B50B" w14:textId="77777777" w:rsidR="000F78F1" w:rsidRPr="003C4389" w:rsidRDefault="000F78F1" w:rsidP="009B132A">
            <w:pPr>
              <w:ind w:right="-46"/>
              <w:rPr>
                <w:rFonts w:cs="Arial"/>
                <w:b/>
                <w:bCs/>
              </w:rPr>
            </w:pPr>
          </w:p>
        </w:tc>
        <w:tc>
          <w:tcPr>
            <w:tcW w:w="1093" w:type="dxa"/>
            <w:vAlign w:val="center"/>
          </w:tcPr>
          <w:p w14:paraId="531E55AA" w14:textId="77777777" w:rsidR="000F78F1" w:rsidRPr="003C4389" w:rsidRDefault="000F78F1" w:rsidP="009B132A">
            <w:pPr>
              <w:ind w:right="-46"/>
              <w:jc w:val="center"/>
              <w:rPr>
                <w:rFonts w:cs="Arial"/>
                <w:b/>
                <w:bCs/>
              </w:rPr>
            </w:pPr>
            <w:r w:rsidRPr="003C4389">
              <w:rPr>
                <w:rFonts w:cs="Arial"/>
                <w:b/>
                <w:bCs/>
              </w:rPr>
              <w:t>Page</w:t>
            </w:r>
          </w:p>
        </w:tc>
      </w:tr>
      <w:tr w:rsidR="000F78F1" w14:paraId="0E7BCB1E" w14:textId="77777777" w:rsidTr="009B132A">
        <w:trPr>
          <w:trHeight w:val="575"/>
        </w:trPr>
        <w:tc>
          <w:tcPr>
            <w:tcW w:w="483" w:type="dxa"/>
            <w:vAlign w:val="center"/>
          </w:tcPr>
          <w:p w14:paraId="3C947081" w14:textId="77777777" w:rsidR="000F78F1" w:rsidRPr="003C4389" w:rsidRDefault="000F78F1" w:rsidP="009B132A">
            <w:pPr>
              <w:ind w:right="-46"/>
              <w:rPr>
                <w:rFonts w:cs="Arial"/>
                <w:b/>
                <w:bCs/>
              </w:rPr>
            </w:pPr>
            <w:r w:rsidRPr="003C4389">
              <w:rPr>
                <w:rFonts w:cs="Arial"/>
                <w:b/>
                <w:bCs/>
              </w:rPr>
              <w:t>1</w:t>
            </w:r>
          </w:p>
        </w:tc>
        <w:tc>
          <w:tcPr>
            <w:tcW w:w="7529" w:type="dxa"/>
            <w:vAlign w:val="center"/>
          </w:tcPr>
          <w:p w14:paraId="25ACC827" w14:textId="526BC9A0" w:rsidR="000F78F1" w:rsidRPr="003C4389" w:rsidRDefault="000F78F1" w:rsidP="009B132A">
            <w:pPr>
              <w:ind w:right="-46"/>
              <w:rPr>
                <w:rFonts w:cs="Arial"/>
                <w:b/>
                <w:bCs/>
              </w:rPr>
            </w:pPr>
            <w:r w:rsidRPr="24509639">
              <w:rPr>
                <w:rFonts w:cs="Arial"/>
                <w:b/>
                <w:bCs/>
              </w:rPr>
              <w:t>Summary Revenue Budget Monitoring Position as of 30</w:t>
            </w:r>
            <w:r w:rsidRPr="24509639">
              <w:rPr>
                <w:rFonts w:cs="Arial"/>
                <w:b/>
                <w:bCs/>
                <w:vertAlign w:val="superscript"/>
              </w:rPr>
              <w:t>th</w:t>
            </w:r>
            <w:r w:rsidRPr="24509639">
              <w:rPr>
                <w:rFonts w:cs="Arial"/>
                <w:b/>
                <w:bCs/>
              </w:rPr>
              <w:t xml:space="preserve"> </w:t>
            </w:r>
            <w:r w:rsidR="00C75BA1">
              <w:rPr>
                <w:rFonts w:cs="Arial"/>
                <w:b/>
                <w:bCs/>
              </w:rPr>
              <w:t>November</w:t>
            </w:r>
            <w:r w:rsidRPr="24509639">
              <w:rPr>
                <w:rFonts w:cs="Arial"/>
                <w:b/>
                <w:bCs/>
              </w:rPr>
              <w:t xml:space="preserve"> 2022</w:t>
            </w:r>
          </w:p>
        </w:tc>
        <w:tc>
          <w:tcPr>
            <w:tcW w:w="1093" w:type="dxa"/>
            <w:vAlign w:val="center"/>
          </w:tcPr>
          <w:p w14:paraId="708737FD" w14:textId="14244340" w:rsidR="000F78F1" w:rsidRPr="003C4389" w:rsidRDefault="009C0D7D" w:rsidP="009B132A">
            <w:pPr>
              <w:ind w:right="-46"/>
              <w:jc w:val="center"/>
              <w:rPr>
                <w:rFonts w:cs="Arial"/>
                <w:b/>
                <w:bCs/>
              </w:rPr>
            </w:pPr>
            <w:r>
              <w:rPr>
                <w:rFonts w:cs="Arial"/>
                <w:b/>
                <w:bCs/>
              </w:rPr>
              <w:t>2</w:t>
            </w:r>
          </w:p>
        </w:tc>
      </w:tr>
      <w:tr w:rsidR="000F78F1" w14:paraId="3AC51955" w14:textId="77777777" w:rsidTr="009B132A">
        <w:trPr>
          <w:trHeight w:val="575"/>
        </w:trPr>
        <w:tc>
          <w:tcPr>
            <w:tcW w:w="483" w:type="dxa"/>
            <w:vAlign w:val="center"/>
          </w:tcPr>
          <w:p w14:paraId="3E2BE815" w14:textId="77777777" w:rsidR="000F78F1" w:rsidRPr="003C4389" w:rsidRDefault="000F78F1" w:rsidP="009B132A">
            <w:pPr>
              <w:ind w:right="-46"/>
              <w:rPr>
                <w:rFonts w:cs="Arial"/>
                <w:b/>
                <w:bCs/>
              </w:rPr>
            </w:pPr>
            <w:r w:rsidRPr="003C4389">
              <w:rPr>
                <w:rFonts w:cs="Arial"/>
                <w:b/>
                <w:bCs/>
              </w:rPr>
              <w:t>2</w:t>
            </w:r>
          </w:p>
        </w:tc>
        <w:tc>
          <w:tcPr>
            <w:tcW w:w="7529" w:type="dxa"/>
            <w:vAlign w:val="center"/>
          </w:tcPr>
          <w:p w14:paraId="35735196" w14:textId="77777777" w:rsidR="000F78F1" w:rsidRPr="003C4389" w:rsidRDefault="000F78F1" w:rsidP="009B132A">
            <w:pPr>
              <w:ind w:right="-46"/>
              <w:rPr>
                <w:rFonts w:cs="Arial"/>
                <w:b/>
                <w:bCs/>
              </w:rPr>
            </w:pPr>
            <w:r w:rsidRPr="003C4389">
              <w:rPr>
                <w:rFonts w:cs="Arial"/>
                <w:b/>
                <w:bCs/>
              </w:rPr>
              <w:t>Executive Summary</w:t>
            </w:r>
          </w:p>
        </w:tc>
        <w:tc>
          <w:tcPr>
            <w:tcW w:w="1093" w:type="dxa"/>
            <w:vAlign w:val="center"/>
          </w:tcPr>
          <w:p w14:paraId="240DA6CF" w14:textId="4E34AACB" w:rsidR="000F78F1" w:rsidRPr="003C4389" w:rsidRDefault="009C0D7D" w:rsidP="009B132A">
            <w:pPr>
              <w:ind w:right="-46"/>
              <w:jc w:val="center"/>
              <w:rPr>
                <w:rFonts w:cs="Arial"/>
                <w:b/>
                <w:bCs/>
              </w:rPr>
            </w:pPr>
            <w:r>
              <w:rPr>
                <w:rFonts w:cs="Arial"/>
                <w:b/>
                <w:bCs/>
              </w:rPr>
              <w:t>2</w:t>
            </w:r>
          </w:p>
        </w:tc>
      </w:tr>
      <w:tr w:rsidR="000F78F1" w14:paraId="376FD7D1" w14:textId="77777777" w:rsidTr="009B132A">
        <w:trPr>
          <w:trHeight w:val="575"/>
        </w:trPr>
        <w:tc>
          <w:tcPr>
            <w:tcW w:w="483" w:type="dxa"/>
            <w:vAlign w:val="center"/>
          </w:tcPr>
          <w:p w14:paraId="3669AC51" w14:textId="77777777" w:rsidR="000F78F1" w:rsidRPr="003C4389" w:rsidRDefault="000F78F1" w:rsidP="009B132A">
            <w:pPr>
              <w:ind w:right="-46"/>
              <w:rPr>
                <w:rFonts w:cs="Arial"/>
                <w:b/>
                <w:bCs/>
              </w:rPr>
            </w:pPr>
            <w:r w:rsidRPr="003C4389">
              <w:rPr>
                <w:rFonts w:cs="Arial"/>
                <w:b/>
                <w:bCs/>
              </w:rPr>
              <w:t>3</w:t>
            </w:r>
          </w:p>
        </w:tc>
        <w:tc>
          <w:tcPr>
            <w:tcW w:w="7529" w:type="dxa"/>
            <w:vAlign w:val="center"/>
          </w:tcPr>
          <w:p w14:paraId="0F04827C" w14:textId="77777777" w:rsidR="000F78F1" w:rsidRPr="003C4389" w:rsidRDefault="000F78F1" w:rsidP="009B132A">
            <w:pPr>
              <w:ind w:right="-46"/>
              <w:rPr>
                <w:rFonts w:cs="Arial"/>
                <w:b/>
                <w:bCs/>
              </w:rPr>
            </w:pPr>
            <w:r w:rsidRPr="003C4389">
              <w:rPr>
                <w:rFonts w:cs="Arial"/>
                <w:b/>
                <w:bCs/>
              </w:rPr>
              <w:t>Adult Services</w:t>
            </w:r>
            <w:r>
              <w:rPr>
                <w:rFonts w:cs="Arial"/>
                <w:b/>
                <w:bCs/>
              </w:rPr>
              <w:t xml:space="preserve"> and Health and Wellbeing Directorate</w:t>
            </w:r>
          </w:p>
        </w:tc>
        <w:tc>
          <w:tcPr>
            <w:tcW w:w="1093" w:type="dxa"/>
            <w:vAlign w:val="center"/>
          </w:tcPr>
          <w:p w14:paraId="3B0E8778" w14:textId="499BE5E1" w:rsidR="000F78F1" w:rsidRPr="003C4389" w:rsidRDefault="009C0D7D" w:rsidP="009B132A">
            <w:pPr>
              <w:ind w:right="-46"/>
              <w:jc w:val="center"/>
              <w:rPr>
                <w:rFonts w:cs="Arial"/>
                <w:b/>
                <w:bCs/>
              </w:rPr>
            </w:pPr>
            <w:r>
              <w:rPr>
                <w:rFonts w:cs="Arial"/>
                <w:b/>
                <w:bCs/>
              </w:rPr>
              <w:t>4</w:t>
            </w:r>
          </w:p>
        </w:tc>
      </w:tr>
      <w:tr w:rsidR="000F78F1" w14:paraId="191672E3" w14:textId="77777777" w:rsidTr="009B132A">
        <w:trPr>
          <w:trHeight w:val="575"/>
        </w:trPr>
        <w:tc>
          <w:tcPr>
            <w:tcW w:w="483" w:type="dxa"/>
            <w:vAlign w:val="center"/>
          </w:tcPr>
          <w:p w14:paraId="58B742DE" w14:textId="77777777" w:rsidR="000F78F1" w:rsidRPr="003C4389" w:rsidRDefault="000F78F1" w:rsidP="009B132A">
            <w:pPr>
              <w:ind w:right="-46"/>
              <w:rPr>
                <w:rFonts w:cs="Arial"/>
                <w:b/>
                <w:bCs/>
              </w:rPr>
            </w:pPr>
            <w:r>
              <w:rPr>
                <w:rFonts w:cs="Arial"/>
                <w:b/>
                <w:bCs/>
              </w:rPr>
              <w:t>4</w:t>
            </w:r>
          </w:p>
        </w:tc>
        <w:tc>
          <w:tcPr>
            <w:tcW w:w="7529" w:type="dxa"/>
            <w:vAlign w:val="center"/>
          </w:tcPr>
          <w:p w14:paraId="098D259B" w14:textId="77777777" w:rsidR="000F78F1" w:rsidRPr="003C4389" w:rsidRDefault="000F78F1" w:rsidP="009B132A">
            <w:pPr>
              <w:ind w:right="-46"/>
              <w:rPr>
                <w:rFonts w:cs="Arial"/>
                <w:b/>
                <w:bCs/>
              </w:rPr>
            </w:pPr>
            <w:r w:rsidRPr="003C4389">
              <w:rPr>
                <w:rFonts w:cs="Arial"/>
                <w:b/>
                <w:bCs/>
              </w:rPr>
              <w:t>Education and Children's Services</w:t>
            </w:r>
            <w:r>
              <w:rPr>
                <w:rFonts w:cs="Arial"/>
                <w:b/>
                <w:bCs/>
              </w:rPr>
              <w:t xml:space="preserve"> Directorate</w:t>
            </w:r>
          </w:p>
        </w:tc>
        <w:tc>
          <w:tcPr>
            <w:tcW w:w="1093" w:type="dxa"/>
            <w:vAlign w:val="center"/>
          </w:tcPr>
          <w:p w14:paraId="06E84E74" w14:textId="2392935C" w:rsidR="000F78F1" w:rsidRPr="003C4389" w:rsidRDefault="009C0D7D" w:rsidP="009B132A">
            <w:pPr>
              <w:ind w:right="-46"/>
              <w:jc w:val="center"/>
              <w:rPr>
                <w:rFonts w:cs="Arial"/>
                <w:b/>
                <w:bCs/>
              </w:rPr>
            </w:pPr>
            <w:r>
              <w:rPr>
                <w:rFonts w:cs="Arial"/>
                <w:b/>
                <w:bCs/>
              </w:rPr>
              <w:t>10</w:t>
            </w:r>
          </w:p>
        </w:tc>
      </w:tr>
      <w:tr w:rsidR="000F78F1" w14:paraId="36A0577C" w14:textId="77777777" w:rsidTr="009B132A">
        <w:trPr>
          <w:trHeight w:val="575"/>
        </w:trPr>
        <w:tc>
          <w:tcPr>
            <w:tcW w:w="483" w:type="dxa"/>
            <w:vAlign w:val="center"/>
          </w:tcPr>
          <w:p w14:paraId="0D423187" w14:textId="77777777" w:rsidR="000F78F1" w:rsidRPr="003C4389" w:rsidRDefault="000F78F1" w:rsidP="009B132A">
            <w:pPr>
              <w:ind w:right="-46"/>
              <w:rPr>
                <w:rFonts w:cs="Arial"/>
                <w:b/>
                <w:bCs/>
              </w:rPr>
            </w:pPr>
            <w:r>
              <w:rPr>
                <w:rFonts w:cs="Arial"/>
                <w:b/>
                <w:bCs/>
              </w:rPr>
              <w:t>5</w:t>
            </w:r>
          </w:p>
        </w:tc>
        <w:tc>
          <w:tcPr>
            <w:tcW w:w="7529" w:type="dxa"/>
            <w:vAlign w:val="center"/>
          </w:tcPr>
          <w:p w14:paraId="3F72D153" w14:textId="77777777" w:rsidR="000F78F1" w:rsidRPr="003C4389" w:rsidRDefault="000F78F1" w:rsidP="009B132A">
            <w:pPr>
              <w:ind w:right="-46"/>
              <w:rPr>
                <w:rFonts w:cs="Arial"/>
                <w:b/>
                <w:bCs/>
              </w:rPr>
            </w:pPr>
            <w:r w:rsidRPr="003C4389">
              <w:rPr>
                <w:rFonts w:cs="Arial"/>
                <w:b/>
                <w:bCs/>
              </w:rPr>
              <w:t xml:space="preserve">Growth, Environment and </w:t>
            </w:r>
            <w:r>
              <w:rPr>
                <w:rFonts w:cs="Arial"/>
                <w:b/>
                <w:bCs/>
              </w:rPr>
              <w:t>Transport</w:t>
            </w:r>
            <w:r w:rsidRPr="003C4389">
              <w:rPr>
                <w:rFonts w:cs="Arial"/>
                <w:b/>
                <w:bCs/>
              </w:rPr>
              <w:t xml:space="preserve"> Services</w:t>
            </w:r>
            <w:r>
              <w:rPr>
                <w:rFonts w:cs="Arial"/>
                <w:b/>
                <w:bCs/>
              </w:rPr>
              <w:t xml:space="preserve"> Directorate</w:t>
            </w:r>
          </w:p>
        </w:tc>
        <w:tc>
          <w:tcPr>
            <w:tcW w:w="1093" w:type="dxa"/>
            <w:vAlign w:val="center"/>
          </w:tcPr>
          <w:p w14:paraId="32D5295B" w14:textId="393C41E4" w:rsidR="000F78F1" w:rsidRPr="003C4389" w:rsidRDefault="009C0D7D" w:rsidP="009B132A">
            <w:pPr>
              <w:ind w:right="-46"/>
              <w:jc w:val="center"/>
              <w:rPr>
                <w:rFonts w:cs="Arial"/>
                <w:b/>
                <w:bCs/>
              </w:rPr>
            </w:pPr>
            <w:r>
              <w:rPr>
                <w:rFonts w:cs="Arial"/>
                <w:b/>
                <w:bCs/>
              </w:rPr>
              <w:t>15</w:t>
            </w:r>
          </w:p>
        </w:tc>
      </w:tr>
      <w:tr w:rsidR="000F78F1" w14:paraId="6712D52E" w14:textId="77777777" w:rsidTr="009B132A">
        <w:trPr>
          <w:trHeight w:val="575"/>
        </w:trPr>
        <w:tc>
          <w:tcPr>
            <w:tcW w:w="483" w:type="dxa"/>
            <w:vAlign w:val="center"/>
          </w:tcPr>
          <w:p w14:paraId="4048F834" w14:textId="77777777" w:rsidR="000F78F1" w:rsidRPr="003C4389" w:rsidRDefault="000F78F1" w:rsidP="009B132A">
            <w:pPr>
              <w:ind w:right="-46"/>
              <w:rPr>
                <w:rFonts w:cs="Arial"/>
                <w:b/>
                <w:bCs/>
              </w:rPr>
            </w:pPr>
            <w:r>
              <w:rPr>
                <w:rFonts w:cs="Arial"/>
                <w:b/>
                <w:bCs/>
              </w:rPr>
              <w:t>6</w:t>
            </w:r>
          </w:p>
        </w:tc>
        <w:tc>
          <w:tcPr>
            <w:tcW w:w="7529" w:type="dxa"/>
            <w:vAlign w:val="center"/>
          </w:tcPr>
          <w:p w14:paraId="4A66B9A8" w14:textId="77777777" w:rsidR="000F78F1" w:rsidRPr="003C4389" w:rsidRDefault="000F78F1" w:rsidP="009B132A">
            <w:pPr>
              <w:ind w:right="-46"/>
              <w:rPr>
                <w:rFonts w:cs="Arial"/>
                <w:b/>
                <w:bCs/>
              </w:rPr>
            </w:pPr>
            <w:r>
              <w:rPr>
                <w:rFonts w:cs="Arial"/>
                <w:b/>
                <w:bCs/>
              </w:rPr>
              <w:t>Resources Directorate</w:t>
            </w:r>
          </w:p>
        </w:tc>
        <w:tc>
          <w:tcPr>
            <w:tcW w:w="1093" w:type="dxa"/>
            <w:vAlign w:val="center"/>
          </w:tcPr>
          <w:p w14:paraId="61ED48E8" w14:textId="625560D3" w:rsidR="000F78F1" w:rsidRPr="003C4389" w:rsidRDefault="009C0D7D" w:rsidP="009B132A">
            <w:pPr>
              <w:ind w:right="-46"/>
              <w:jc w:val="center"/>
              <w:rPr>
                <w:rFonts w:cs="Arial"/>
                <w:b/>
                <w:bCs/>
              </w:rPr>
            </w:pPr>
            <w:r>
              <w:rPr>
                <w:rFonts w:cs="Arial"/>
                <w:b/>
                <w:bCs/>
              </w:rPr>
              <w:t>19</w:t>
            </w:r>
          </w:p>
        </w:tc>
      </w:tr>
      <w:tr w:rsidR="000F78F1" w14:paraId="4407A02D" w14:textId="77777777" w:rsidTr="009B132A">
        <w:trPr>
          <w:trHeight w:val="575"/>
        </w:trPr>
        <w:tc>
          <w:tcPr>
            <w:tcW w:w="483" w:type="dxa"/>
            <w:vAlign w:val="center"/>
          </w:tcPr>
          <w:p w14:paraId="58892AF0" w14:textId="77777777" w:rsidR="000F78F1" w:rsidRPr="003C4389" w:rsidRDefault="000F78F1" w:rsidP="009B132A">
            <w:pPr>
              <w:ind w:right="-46"/>
              <w:rPr>
                <w:rFonts w:cs="Arial"/>
                <w:b/>
                <w:bCs/>
              </w:rPr>
            </w:pPr>
            <w:r>
              <w:rPr>
                <w:rFonts w:cs="Arial"/>
                <w:b/>
                <w:bCs/>
              </w:rPr>
              <w:t>7</w:t>
            </w:r>
          </w:p>
        </w:tc>
        <w:tc>
          <w:tcPr>
            <w:tcW w:w="7529" w:type="dxa"/>
            <w:vAlign w:val="center"/>
          </w:tcPr>
          <w:p w14:paraId="2141223D" w14:textId="77777777" w:rsidR="000F78F1" w:rsidRPr="003C4389" w:rsidRDefault="000F78F1" w:rsidP="009B132A">
            <w:pPr>
              <w:ind w:right="-46"/>
              <w:rPr>
                <w:rFonts w:cs="Arial"/>
                <w:b/>
                <w:bCs/>
              </w:rPr>
            </w:pPr>
            <w:r>
              <w:rPr>
                <w:rFonts w:cs="Arial"/>
                <w:b/>
                <w:bCs/>
              </w:rPr>
              <w:t xml:space="preserve">Chief Executive Services </w:t>
            </w:r>
          </w:p>
        </w:tc>
        <w:tc>
          <w:tcPr>
            <w:tcW w:w="1093" w:type="dxa"/>
            <w:vAlign w:val="center"/>
          </w:tcPr>
          <w:p w14:paraId="5ACB4AF6" w14:textId="7338D1D6" w:rsidR="000F78F1" w:rsidRPr="003C4389" w:rsidRDefault="009C0D7D" w:rsidP="009B132A">
            <w:pPr>
              <w:ind w:right="-46"/>
              <w:jc w:val="center"/>
              <w:rPr>
                <w:rFonts w:cs="Arial"/>
                <w:b/>
                <w:bCs/>
              </w:rPr>
            </w:pPr>
            <w:r>
              <w:rPr>
                <w:rFonts w:cs="Arial"/>
                <w:b/>
                <w:bCs/>
              </w:rPr>
              <w:t>23</w:t>
            </w:r>
          </w:p>
        </w:tc>
      </w:tr>
    </w:tbl>
    <w:p w14:paraId="35C4C2FB" w14:textId="73DD7CEC" w:rsidR="006D7BB1" w:rsidRDefault="006D7BB1" w:rsidP="000E00B0">
      <w:pPr>
        <w:sectPr w:rsidR="006D7BB1" w:rsidSect="00067A19">
          <w:pgSz w:w="11900" w:h="16840" w:code="9"/>
          <w:pgMar w:top="1440" w:right="1440" w:bottom="1440" w:left="1440" w:header="283" w:footer="283" w:gutter="0"/>
          <w:pgNumType w:start="1"/>
          <w:cols w:space="292"/>
          <w:docGrid w:linePitch="326"/>
        </w:sectPr>
      </w:pPr>
    </w:p>
    <w:p w14:paraId="017D29A4" w14:textId="355FE5EC" w:rsidR="000F78F1" w:rsidRPr="000F78F1" w:rsidRDefault="000F78F1" w:rsidP="000F78F1">
      <w:pPr>
        <w:numPr>
          <w:ilvl w:val="0"/>
          <w:numId w:val="5"/>
        </w:numPr>
        <w:autoSpaceDE/>
        <w:autoSpaceDN/>
        <w:adjustRightInd/>
        <w:spacing w:after="0" w:line="259" w:lineRule="auto"/>
        <w:contextualSpacing/>
        <w:rPr>
          <w:rFonts w:cs="Arial"/>
          <w:b/>
          <w:bCs/>
          <w:u w:val="single"/>
        </w:rPr>
      </w:pPr>
      <w:bookmarkStart w:id="1" w:name="_Toc304199309"/>
      <w:bookmarkEnd w:id="0"/>
      <w:r w:rsidRPr="000F78F1">
        <w:rPr>
          <w:rFonts w:cs="Arial"/>
          <w:b/>
          <w:bCs/>
          <w:u w:val="single"/>
        </w:rPr>
        <w:lastRenderedPageBreak/>
        <w:t>Summary Revenue Budget Monitoring Position as of 30</w:t>
      </w:r>
      <w:r w:rsidRPr="000F78F1">
        <w:rPr>
          <w:rFonts w:cs="Arial"/>
          <w:b/>
          <w:bCs/>
          <w:u w:val="single"/>
          <w:vertAlign w:val="superscript"/>
        </w:rPr>
        <w:t>th</w:t>
      </w:r>
      <w:r w:rsidRPr="000F78F1">
        <w:rPr>
          <w:rFonts w:cs="Arial"/>
          <w:b/>
          <w:bCs/>
          <w:u w:val="single"/>
        </w:rPr>
        <w:t xml:space="preserve"> </w:t>
      </w:r>
      <w:r w:rsidR="00C75BA1">
        <w:rPr>
          <w:rFonts w:cs="Arial"/>
          <w:b/>
          <w:bCs/>
          <w:u w:val="single"/>
        </w:rPr>
        <w:t>November</w:t>
      </w:r>
      <w:r w:rsidRPr="000F78F1">
        <w:rPr>
          <w:rFonts w:cs="Arial"/>
          <w:b/>
          <w:bCs/>
          <w:u w:val="single"/>
        </w:rPr>
        <w:t xml:space="preserve"> 2022</w:t>
      </w:r>
    </w:p>
    <w:p w14:paraId="39B3308D" w14:textId="77777777" w:rsidR="000F78F1" w:rsidRPr="000F78F1" w:rsidRDefault="000F78F1" w:rsidP="000F78F1">
      <w:pPr>
        <w:autoSpaceDE/>
        <w:autoSpaceDN/>
        <w:adjustRightInd/>
        <w:spacing w:after="0" w:line="259" w:lineRule="auto"/>
        <w:ind w:left="720"/>
        <w:contextualSpacing/>
        <w:rPr>
          <w:rFonts w:cs="Arial"/>
          <w:b/>
          <w:bCs/>
          <w:u w:val="single"/>
        </w:rPr>
      </w:pPr>
    </w:p>
    <w:tbl>
      <w:tblPr>
        <w:tblW w:w="9058" w:type="dxa"/>
        <w:tblLook w:val="04A0" w:firstRow="1" w:lastRow="0" w:firstColumn="1" w:lastColumn="0" w:noHBand="0" w:noVBand="1"/>
      </w:tblPr>
      <w:tblGrid>
        <w:gridCol w:w="3830"/>
        <w:gridCol w:w="939"/>
        <w:gridCol w:w="1050"/>
        <w:gridCol w:w="1050"/>
        <w:gridCol w:w="1050"/>
        <w:gridCol w:w="1139"/>
      </w:tblGrid>
      <w:tr w:rsidR="00C75BA1" w:rsidRPr="00C75BA1" w14:paraId="615F4897" w14:textId="77777777" w:rsidTr="00C75BA1">
        <w:trPr>
          <w:trHeight w:val="811"/>
        </w:trPr>
        <w:tc>
          <w:tcPr>
            <w:tcW w:w="42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F67559"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Service Area</w:t>
            </w:r>
          </w:p>
        </w:tc>
        <w:tc>
          <w:tcPr>
            <w:tcW w:w="849" w:type="dxa"/>
            <w:tcBorders>
              <w:top w:val="single" w:sz="4" w:space="0" w:color="auto"/>
              <w:left w:val="nil"/>
              <w:bottom w:val="single" w:sz="4" w:space="0" w:color="auto"/>
              <w:right w:val="single" w:sz="4" w:space="0" w:color="auto"/>
            </w:tcBorders>
            <w:shd w:val="clear" w:color="000000" w:fill="D9D9D9"/>
            <w:vAlign w:val="center"/>
            <w:hideMark/>
          </w:tcPr>
          <w:p w14:paraId="64009BAA"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xml:space="preserve">Net Budget </w:t>
            </w:r>
          </w:p>
        </w:tc>
        <w:tc>
          <w:tcPr>
            <w:tcW w:w="956" w:type="dxa"/>
            <w:tcBorders>
              <w:top w:val="single" w:sz="4" w:space="0" w:color="auto"/>
              <w:left w:val="nil"/>
              <w:bottom w:val="single" w:sz="4" w:space="0" w:color="auto"/>
              <w:right w:val="single" w:sz="4" w:space="0" w:color="auto"/>
            </w:tcBorders>
            <w:shd w:val="clear" w:color="000000" w:fill="D9D9D9"/>
            <w:vAlign w:val="center"/>
            <w:hideMark/>
          </w:tcPr>
          <w:p w14:paraId="0660BBC7"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xml:space="preserve">Net Forecast Outturn </w:t>
            </w:r>
          </w:p>
        </w:tc>
        <w:tc>
          <w:tcPr>
            <w:tcW w:w="986" w:type="dxa"/>
            <w:tcBorders>
              <w:top w:val="single" w:sz="4" w:space="0" w:color="auto"/>
              <w:left w:val="nil"/>
              <w:bottom w:val="single" w:sz="4" w:space="0" w:color="auto"/>
              <w:right w:val="single" w:sz="4" w:space="0" w:color="auto"/>
            </w:tcBorders>
            <w:shd w:val="clear" w:color="000000" w:fill="D9D9D9"/>
            <w:vAlign w:val="center"/>
            <w:hideMark/>
          </w:tcPr>
          <w:p w14:paraId="48106DCD"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Net Forecast Variance</w:t>
            </w:r>
          </w:p>
        </w:tc>
        <w:tc>
          <w:tcPr>
            <w:tcW w:w="880" w:type="dxa"/>
            <w:tcBorders>
              <w:top w:val="single" w:sz="4" w:space="0" w:color="auto"/>
              <w:left w:val="nil"/>
              <w:bottom w:val="single" w:sz="4" w:space="0" w:color="auto"/>
              <w:right w:val="single" w:sz="4" w:space="0" w:color="auto"/>
            </w:tcBorders>
            <w:shd w:val="clear" w:color="000000" w:fill="D9D9D9"/>
            <w:vAlign w:val="center"/>
            <w:hideMark/>
          </w:tcPr>
          <w:p w14:paraId="39512744"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Net Forecast Variance</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95C34B7"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Q2 Variance</w:t>
            </w:r>
          </w:p>
        </w:tc>
      </w:tr>
      <w:tr w:rsidR="00C75BA1" w:rsidRPr="00C75BA1" w14:paraId="6F9F9938" w14:textId="77777777" w:rsidTr="00C75BA1">
        <w:trPr>
          <w:trHeight w:val="318"/>
        </w:trPr>
        <w:tc>
          <w:tcPr>
            <w:tcW w:w="4234" w:type="dxa"/>
            <w:tcBorders>
              <w:top w:val="nil"/>
              <w:left w:val="single" w:sz="8" w:space="0" w:color="auto"/>
              <w:bottom w:val="single" w:sz="4" w:space="0" w:color="auto"/>
              <w:right w:val="single" w:sz="4" w:space="0" w:color="auto"/>
            </w:tcBorders>
            <w:shd w:val="clear" w:color="000000" w:fill="D9D9D9"/>
            <w:vAlign w:val="center"/>
            <w:hideMark/>
          </w:tcPr>
          <w:p w14:paraId="1F70A94A"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w:t>
            </w:r>
          </w:p>
        </w:tc>
        <w:tc>
          <w:tcPr>
            <w:tcW w:w="849" w:type="dxa"/>
            <w:tcBorders>
              <w:top w:val="nil"/>
              <w:left w:val="nil"/>
              <w:bottom w:val="nil"/>
              <w:right w:val="single" w:sz="4" w:space="0" w:color="auto"/>
            </w:tcBorders>
            <w:shd w:val="clear" w:color="000000" w:fill="D9D9D9"/>
            <w:vAlign w:val="center"/>
            <w:hideMark/>
          </w:tcPr>
          <w:p w14:paraId="401B4CF5"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956" w:type="dxa"/>
            <w:tcBorders>
              <w:top w:val="nil"/>
              <w:left w:val="nil"/>
              <w:bottom w:val="nil"/>
              <w:right w:val="single" w:sz="4" w:space="0" w:color="auto"/>
            </w:tcBorders>
            <w:shd w:val="clear" w:color="000000" w:fill="D9D9D9"/>
            <w:vAlign w:val="center"/>
            <w:hideMark/>
          </w:tcPr>
          <w:p w14:paraId="72641B02"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986" w:type="dxa"/>
            <w:tcBorders>
              <w:top w:val="nil"/>
              <w:left w:val="nil"/>
              <w:bottom w:val="nil"/>
              <w:right w:val="single" w:sz="4" w:space="0" w:color="auto"/>
            </w:tcBorders>
            <w:shd w:val="clear" w:color="000000" w:fill="D9D9D9"/>
            <w:vAlign w:val="center"/>
            <w:hideMark/>
          </w:tcPr>
          <w:p w14:paraId="056D0AED"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880" w:type="dxa"/>
            <w:tcBorders>
              <w:top w:val="nil"/>
              <w:left w:val="nil"/>
              <w:bottom w:val="nil"/>
              <w:right w:val="single" w:sz="4" w:space="0" w:color="auto"/>
            </w:tcBorders>
            <w:shd w:val="clear" w:color="000000" w:fill="D9D9D9"/>
            <w:vAlign w:val="center"/>
            <w:hideMark/>
          </w:tcPr>
          <w:p w14:paraId="4348C87D"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w:t>
            </w:r>
          </w:p>
        </w:tc>
        <w:tc>
          <w:tcPr>
            <w:tcW w:w="1153" w:type="dxa"/>
            <w:tcBorders>
              <w:top w:val="nil"/>
              <w:left w:val="nil"/>
              <w:bottom w:val="nil"/>
              <w:right w:val="single" w:sz="4" w:space="0" w:color="auto"/>
            </w:tcBorders>
            <w:shd w:val="clear" w:color="000000" w:fill="D9D9D9"/>
            <w:vAlign w:val="center"/>
            <w:hideMark/>
          </w:tcPr>
          <w:p w14:paraId="5A404B8F" w14:textId="77777777" w:rsidR="00C75BA1" w:rsidRPr="00C75BA1" w:rsidRDefault="00C75BA1" w:rsidP="00C75BA1">
            <w:pPr>
              <w:autoSpaceDE/>
              <w:autoSpaceDN/>
              <w:adjustRightInd/>
              <w:spacing w:after="0"/>
              <w:jc w:val="center"/>
              <w:rPr>
                <w:rFonts w:eastAsia="Times New Roman" w:cs="Arial"/>
                <w:b/>
                <w:bCs/>
                <w:color w:val="auto"/>
                <w:sz w:val="20"/>
                <w:szCs w:val="20"/>
                <w:lang w:eastAsia="en-GB"/>
              </w:rPr>
            </w:pPr>
            <w:r w:rsidRPr="00C75BA1">
              <w:rPr>
                <w:rFonts w:eastAsia="Times New Roman" w:cs="Arial"/>
                <w:b/>
                <w:bCs/>
                <w:color w:val="auto"/>
                <w:sz w:val="20"/>
                <w:szCs w:val="20"/>
                <w:lang w:eastAsia="en-GB"/>
              </w:rPr>
              <w:t>£m</w:t>
            </w:r>
          </w:p>
        </w:tc>
      </w:tr>
      <w:tr w:rsidR="00C75BA1" w:rsidRPr="00C75BA1" w14:paraId="1CAEBD10" w14:textId="77777777" w:rsidTr="00C75BA1">
        <w:trPr>
          <w:trHeight w:val="318"/>
        </w:trPr>
        <w:tc>
          <w:tcPr>
            <w:tcW w:w="4234" w:type="dxa"/>
            <w:tcBorders>
              <w:top w:val="nil"/>
              <w:left w:val="single" w:sz="8" w:space="0" w:color="auto"/>
              <w:bottom w:val="single" w:sz="4" w:space="0" w:color="auto"/>
              <w:right w:val="single" w:sz="4" w:space="0" w:color="auto"/>
            </w:tcBorders>
            <w:shd w:val="clear" w:color="000000" w:fill="D9D9D9"/>
            <w:vAlign w:val="center"/>
            <w:hideMark/>
          </w:tcPr>
          <w:p w14:paraId="58C5E53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Adult Services and Health &amp; Wellbeing</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3AF8449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421.238</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616BBF6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414.094</w:t>
            </w:r>
          </w:p>
        </w:tc>
        <w:tc>
          <w:tcPr>
            <w:tcW w:w="986" w:type="dxa"/>
            <w:tcBorders>
              <w:top w:val="single" w:sz="4" w:space="0" w:color="auto"/>
              <w:left w:val="nil"/>
              <w:bottom w:val="single" w:sz="4" w:space="0" w:color="auto"/>
              <w:right w:val="single" w:sz="4" w:space="0" w:color="auto"/>
            </w:tcBorders>
            <w:shd w:val="clear" w:color="000000" w:fill="D9D9D9"/>
            <w:vAlign w:val="center"/>
            <w:hideMark/>
          </w:tcPr>
          <w:p w14:paraId="7D9B946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-7.144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49860F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-1.70%</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14:paraId="74CDF7F7"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-3.049</w:t>
            </w:r>
          </w:p>
        </w:tc>
      </w:tr>
      <w:tr w:rsidR="00C75BA1" w:rsidRPr="00C75BA1" w14:paraId="0E97C3DB" w14:textId="77777777" w:rsidTr="00C75BA1">
        <w:trPr>
          <w:trHeight w:val="318"/>
        </w:trPr>
        <w:tc>
          <w:tcPr>
            <w:tcW w:w="4234" w:type="dxa"/>
            <w:tcBorders>
              <w:top w:val="nil"/>
              <w:left w:val="single" w:sz="8" w:space="0" w:color="auto"/>
              <w:bottom w:val="single" w:sz="4" w:space="0" w:color="auto"/>
              <w:right w:val="single" w:sz="4" w:space="0" w:color="auto"/>
            </w:tcBorders>
            <w:shd w:val="clear" w:color="000000" w:fill="D9D9D9"/>
            <w:vAlign w:val="center"/>
            <w:hideMark/>
          </w:tcPr>
          <w:p w14:paraId="7697CBE0"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Education &amp; Children's Services</w:t>
            </w:r>
          </w:p>
        </w:tc>
        <w:tc>
          <w:tcPr>
            <w:tcW w:w="849" w:type="dxa"/>
            <w:tcBorders>
              <w:top w:val="nil"/>
              <w:left w:val="nil"/>
              <w:bottom w:val="single" w:sz="4" w:space="0" w:color="auto"/>
              <w:right w:val="single" w:sz="4" w:space="0" w:color="auto"/>
            </w:tcBorders>
            <w:shd w:val="clear" w:color="auto" w:fill="auto"/>
            <w:vAlign w:val="center"/>
            <w:hideMark/>
          </w:tcPr>
          <w:p w14:paraId="3875520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229.376</w:t>
            </w:r>
          </w:p>
        </w:tc>
        <w:tc>
          <w:tcPr>
            <w:tcW w:w="956" w:type="dxa"/>
            <w:tcBorders>
              <w:top w:val="nil"/>
              <w:left w:val="nil"/>
              <w:bottom w:val="single" w:sz="4" w:space="0" w:color="auto"/>
              <w:right w:val="single" w:sz="4" w:space="0" w:color="auto"/>
            </w:tcBorders>
            <w:shd w:val="clear" w:color="auto" w:fill="auto"/>
            <w:vAlign w:val="center"/>
            <w:hideMark/>
          </w:tcPr>
          <w:p w14:paraId="07D7AD2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240.925</w:t>
            </w:r>
          </w:p>
        </w:tc>
        <w:tc>
          <w:tcPr>
            <w:tcW w:w="986" w:type="dxa"/>
            <w:tcBorders>
              <w:top w:val="nil"/>
              <w:left w:val="nil"/>
              <w:bottom w:val="single" w:sz="4" w:space="0" w:color="auto"/>
              <w:right w:val="single" w:sz="4" w:space="0" w:color="auto"/>
            </w:tcBorders>
            <w:shd w:val="clear" w:color="000000" w:fill="D9D9D9"/>
            <w:vAlign w:val="center"/>
            <w:hideMark/>
          </w:tcPr>
          <w:p w14:paraId="7819B0B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11.549</w:t>
            </w:r>
          </w:p>
        </w:tc>
        <w:tc>
          <w:tcPr>
            <w:tcW w:w="880" w:type="dxa"/>
            <w:tcBorders>
              <w:top w:val="nil"/>
              <w:left w:val="nil"/>
              <w:bottom w:val="single" w:sz="4" w:space="0" w:color="auto"/>
              <w:right w:val="single" w:sz="4" w:space="0" w:color="auto"/>
            </w:tcBorders>
            <w:shd w:val="clear" w:color="auto" w:fill="auto"/>
            <w:vAlign w:val="center"/>
            <w:hideMark/>
          </w:tcPr>
          <w:p w14:paraId="0C9E3621"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5.04%</w:t>
            </w:r>
          </w:p>
        </w:tc>
        <w:tc>
          <w:tcPr>
            <w:tcW w:w="1153" w:type="dxa"/>
            <w:tcBorders>
              <w:top w:val="nil"/>
              <w:left w:val="nil"/>
              <w:bottom w:val="single" w:sz="4" w:space="0" w:color="auto"/>
              <w:right w:val="single" w:sz="4" w:space="0" w:color="auto"/>
            </w:tcBorders>
            <w:shd w:val="clear" w:color="000000" w:fill="D9D9D9"/>
            <w:vAlign w:val="center"/>
            <w:hideMark/>
          </w:tcPr>
          <w:p w14:paraId="2C8F4005"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10.707</w:t>
            </w:r>
          </w:p>
        </w:tc>
      </w:tr>
      <w:tr w:rsidR="00C75BA1" w:rsidRPr="00C75BA1" w14:paraId="5EFFFE4D" w14:textId="77777777" w:rsidTr="00C75BA1">
        <w:trPr>
          <w:trHeight w:val="318"/>
        </w:trPr>
        <w:tc>
          <w:tcPr>
            <w:tcW w:w="4234" w:type="dxa"/>
            <w:tcBorders>
              <w:top w:val="nil"/>
              <w:left w:val="single" w:sz="8" w:space="0" w:color="auto"/>
              <w:bottom w:val="single" w:sz="4" w:space="0" w:color="auto"/>
              <w:right w:val="single" w:sz="4" w:space="0" w:color="auto"/>
            </w:tcBorders>
            <w:shd w:val="clear" w:color="000000" w:fill="D9D9D9"/>
            <w:vAlign w:val="center"/>
            <w:hideMark/>
          </w:tcPr>
          <w:p w14:paraId="6F415956"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Growth, Environment &amp; Transport</w:t>
            </w:r>
          </w:p>
        </w:tc>
        <w:tc>
          <w:tcPr>
            <w:tcW w:w="849" w:type="dxa"/>
            <w:tcBorders>
              <w:top w:val="nil"/>
              <w:left w:val="nil"/>
              <w:bottom w:val="single" w:sz="4" w:space="0" w:color="auto"/>
              <w:right w:val="single" w:sz="4" w:space="0" w:color="auto"/>
            </w:tcBorders>
            <w:shd w:val="clear" w:color="auto" w:fill="auto"/>
            <w:vAlign w:val="center"/>
            <w:hideMark/>
          </w:tcPr>
          <w:p w14:paraId="390D1B9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158.488</w:t>
            </w:r>
          </w:p>
        </w:tc>
        <w:tc>
          <w:tcPr>
            <w:tcW w:w="956" w:type="dxa"/>
            <w:tcBorders>
              <w:top w:val="nil"/>
              <w:left w:val="nil"/>
              <w:bottom w:val="single" w:sz="4" w:space="0" w:color="auto"/>
              <w:right w:val="single" w:sz="4" w:space="0" w:color="auto"/>
            </w:tcBorders>
            <w:shd w:val="clear" w:color="auto" w:fill="auto"/>
            <w:vAlign w:val="center"/>
            <w:hideMark/>
          </w:tcPr>
          <w:p w14:paraId="46E8910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156.365</w:t>
            </w:r>
          </w:p>
        </w:tc>
        <w:tc>
          <w:tcPr>
            <w:tcW w:w="986" w:type="dxa"/>
            <w:tcBorders>
              <w:top w:val="nil"/>
              <w:left w:val="nil"/>
              <w:bottom w:val="single" w:sz="4" w:space="0" w:color="auto"/>
              <w:right w:val="single" w:sz="4" w:space="0" w:color="auto"/>
            </w:tcBorders>
            <w:shd w:val="clear" w:color="000000" w:fill="D9D9D9"/>
            <w:vAlign w:val="center"/>
            <w:hideMark/>
          </w:tcPr>
          <w:p w14:paraId="6310883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-2.123</w:t>
            </w:r>
          </w:p>
        </w:tc>
        <w:tc>
          <w:tcPr>
            <w:tcW w:w="880" w:type="dxa"/>
            <w:tcBorders>
              <w:top w:val="nil"/>
              <w:left w:val="nil"/>
              <w:bottom w:val="single" w:sz="4" w:space="0" w:color="auto"/>
              <w:right w:val="single" w:sz="4" w:space="0" w:color="auto"/>
            </w:tcBorders>
            <w:shd w:val="clear" w:color="auto" w:fill="auto"/>
            <w:vAlign w:val="center"/>
            <w:hideMark/>
          </w:tcPr>
          <w:p w14:paraId="0C469B8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-1.34%</w:t>
            </w:r>
          </w:p>
        </w:tc>
        <w:tc>
          <w:tcPr>
            <w:tcW w:w="1153" w:type="dxa"/>
            <w:tcBorders>
              <w:top w:val="nil"/>
              <w:left w:val="nil"/>
              <w:bottom w:val="single" w:sz="4" w:space="0" w:color="auto"/>
              <w:right w:val="single" w:sz="4" w:space="0" w:color="auto"/>
            </w:tcBorders>
            <w:shd w:val="clear" w:color="000000" w:fill="D9D9D9"/>
            <w:vAlign w:val="center"/>
            <w:hideMark/>
          </w:tcPr>
          <w:p w14:paraId="0BC9FD1D"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0.795</w:t>
            </w:r>
          </w:p>
        </w:tc>
      </w:tr>
      <w:tr w:rsidR="00C75BA1" w:rsidRPr="00C75BA1" w14:paraId="79A2F61D" w14:textId="77777777" w:rsidTr="00C75BA1">
        <w:trPr>
          <w:trHeight w:val="318"/>
        </w:trPr>
        <w:tc>
          <w:tcPr>
            <w:tcW w:w="4234" w:type="dxa"/>
            <w:tcBorders>
              <w:top w:val="nil"/>
              <w:left w:val="single" w:sz="8" w:space="0" w:color="auto"/>
              <w:bottom w:val="single" w:sz="4" w:space="0" w:color="auto"/>
              <w:right w:val="single" w:sz="4" w:space="0" w:color="auto"/>
            </w:tcBorders>
            <w:shd w:val="clear" w:color="000000" w:fill="D9D9D9"/>
            <w:vAlign w:val="center"/>
            <w:hideMark/>
          </w:tcPr>
          <w:p w14:paraId="1DCBB5BA"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Resources</w:t>
            </w:r>
          </w:p>
        </w:tc>
        <w:tc>
          <w:tcPr>
            <w:tcW w:w="849" w:type="dxa"/>
            <w:tcBorders>
              <w:top w:val="nil"/>
              <w:left w:val="nil"/>
              <w:bottom w:val="single" w:sz="4" w:space="0" w:color="auto"/>
              <w:right w:val="single" w:sz="4" w:space="0" w:color="auto"/>
            </w:tcBorders>
            <w:shd w:val="clear" w:color="auto" w:fill="auto"/>
            <w:vAlign w:val="center"/>
            <w:hideMark/>
          </w:tcPr>
          <w:p w14:paraId="2B076DA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155.149</w:t>
            </w:r>
          </w:p>
        </w:tc>
        <w:tc>
          <w:tcPr>
            <w:tcW w:w="956" w:type="dxa"/>
            <w:tcBorders>
              <w:top w:val="nil"/>
              <w:left w:val="nil"/>
              <w:bottom w:val="single" w:sz="4" w:space="0" w:color="auto"/>
              <w:right w:val="single" w:sz="4" w:space="0" w:color="auto"/>
            </w:tcBorders>
            <w:shd w:val="clear" w:color="auto" w:fill="auto"/>
            <w:vAlign w:val="center"/>
            <w:hideMark/>
          </w:tcPr>
          <w:p w14:paraId="570735C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156.443</w:t>
            </w:r>
          </w:p>
        </w:tc>
        <w:tc>
          <w:tcPr>
            <w:tcW w:w="986" w:type="dxa"/>
            <w:tcBorders>
              <w:top w:val="nil"/>
              <w:left w:val="nil"/>
              <w:bottom w:val="single" w:sz="4" w:space="0" w:color="auto"/>
              <w:right w:val="single" w:sz="4" w:space="0" w:color="auto"/>
            </w:tcBorders>
            <w:shd w:val="clear" w:color="000000" w:fill="D9D9D9"/>
            <w:vAlign w:val="center"/>
            <w:hideMark/>
          </w:tcPr>
          <w:p w14:paraId="4AA7DCE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1.294</w:t>
            </w:r>
          </w:p>
        </w:tc>
        <w:tc>
          <w:tcPr>
            <w:tcW w:w="880" w:type="dxa"/>
            <w:tcBorders>
              <w:top w:val="nil"/>
              <w:left w:val="nil"/>
              <w:bottom w:val="single" w:sz="4" w:space="0" w:color="auto"/>
              <w:right w:val="single" w:sz="4" w:space="0" w:color="auto"/>
            </w:tcBorders>
            <w:shd w:val="clear" w:color="auto" w:fill="auto"/>
            <w:vAlign w:val="center"/>
            <w:hideMark/>
          </w:tcPr>
          <w:p w14:paraId="24D2652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0.83%</w:t>
            </w:r>
          </w:p>
        </w:tc>
        <w:tc>
          <w:tcPr>
            <w:tcW w:w="1153" w:type="dxa"/>
            <w:tcBorders>
              <w:top w:val="nil"/>
              <w:left w:val="nil"/>
              <w:bottom w:val="single" w:sz="4" w:space="0" w:color="auto"/>
              <w:right w:val="single" w:sz="4" w:space="0" w:color="auto"/>
            </w:tcBorders>
            <w:shd w:val="clear" w:color="000000" w:fill="D9D9D9"/>
            <w:vAlign w:val="center"/>
            <w:hideMark/>
          </w:tcPr>
          <w:p w14:paraId="368078B1"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0.471</w:t>
            </w:r>
          </w:p>
        </w:tc>
      </w:tr>
      <w:tr w:rsidR="00C75BA1" w:rsidRPr="00C75BA1" w14:paraId="594181B6" w14:textId="77777777" w:rsidTr="00C75BA1">
        <w:trPr>
          <w:trHeight w:val="318"/>
        </w:trPr>
        <w:tc>
          <w:tcPr>
            <w:tcW w:w="4234" w:type="dxa"/>
            <w:tcBorders>
              <w:top w:val="nil"/>
              <w:left w:val="single" w:sz="8" w:space="0" w:color="auto"/>
              <w:bottom w:val="single" w:sz="4" w:space="0" w:color="auto"/>
              <w:right w:val="single" w:sz="4" w:space="0" w:color="auto"/>
            </w:tcBorders>
            <w:shd w:val="clear" w:color="000000" w:fill="D9D9D9"/>
            <w:vAlign w:val="center"/>
            <w:hideMark/>
          </w:tcPr>
          <w:p w14:paraId="7BC8B23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Chief Executive Services</w:t>
            </w:r>
          </w:p>
        </w:tc>
        <w:tc>
          <w:tcPr>
            <w:tcW w:w="849" w:type="dxa"/>
            <w:tcBorders>
              <w:top w:val="nil"/>
              <w:left w:val="nil"/>
              <w:bottom w:val="single" w:sz="4" w:space="0" w:color="auto"/>
              <w:right w:val="single" w:sz="4" w:space="0" w:color="auto"/>
            </w:tcBorders>
            <w:shd w:val="clear" w:color="auto" w:fill="auto"/>
            <w:vAlign w:val="center"/>
            <w:hideMark/>
          </w:tcPr>
          <w:p w14:paraId="5D6ACA2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-16.143</w:t>
            </w:r>
          </w:p>
        </w:tc>
        <w:tc>
          <w:tcPr>
            <w:tcW w:w="956" w:type="dxa"/>
            <w:tcBorders>
              <w:top w:val="nil"/>
              <w:left w:val="nil"/>
              <w:bottom w:val="single" w:sz="4" w:space="0" w:color="auto"/>
              <w:right w:val="single" w:sz="4" w:space="0" w:color="auto"/>
            </w:tcBorders>
            <w:shd w:val="clear" w:color="auto" w:fill="auto"/>
            <w:vAlign w:val="center"/>
            <w:hideMark/>
          </w:tcPr>
          <w:p w14:paraId="64DA9EC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-17.199</w:t>
            </w:r>
          </w:p>
        </w:tc>
        <w:tc>
          <w:tcPr>
            <w:tcW w:w="986" w:type="dxa"/>
            <w:tcBorders>
              <w:top w:val="nil"/>
              <w:left w:val="nil"/>
              <w:bottom w:val="single" w:sz="4" w:space="0" w:color="auto"/>
              <w:right w:val="single" w:sz="4" w:space="0" w:color="auto"/>
            </w:tcBorders>
            <w:shd w:val="clear" w:color="000000" w:fill="D9D9D9"/>
            <w:vAlign w:val="center"/>
            <w:hideMark/>
          </w:tcPr>
          <w:p w14:paraId="3209F2E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-1.056</w:t>
            </w:r>
          </w:p>
        </w:tc>
        <w:tc>
          <w:tcPr>
            <w:tcW w:w="880" w:type="dxa"/>
            <w:tcBorders>
              <w:top w:val="nil"/>
              <w:left w:val="nil"/>
              <w:bottom w:val="single" w:sz="4" w:space="0" w:color="auto"/>
              <w:right w:val="single" w:sz="4" w:space="0" w:color="auto"/>
            </w:tcBorders>
            <w:shd w:val="clear" w:color="auto" w:fill="auto"/>
            <w:vAlign w:val="center"/>
            <w:hideMark/>
          </w:tcPr>
          <w:p w14:paraId="42B7C9F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-6.54%</w:t>
            </w:r>
          </w:p>
        </w:tc>
        <w:tc>
          <w:tcPr>
            <w:tcW w:w="1153" w:type="dxa"/>
            <w:tcBorders>
              <w:top w:val="nil"/>
              <w:left w:val="nil"/>
              <w:bottom w:val="single" w:sz="4" w:space="0" w:color="auto"/>
              <w:right w:val="single" w:sz="4" w:space="0" w:color="auto"/>
            </w:tcBorders>
            <w:shd w:val="clear" w:color="000000" w:fill="D9D9D9"/>
            <w:vAlign w:val="center"/>
            <w:hideMark/>
          </w:tcPr>
          <w:p w14:paraId="1FCB672A"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-0.934</w:t>
            </w:r>
          </w:p>
        </w:tc>
      </w:tr>
      <w:tr w:rsidR="00C75BA1" w:rsidRPr="00C75BA1" w14:paraId="29870539" w14:textId="77777777" w:rsidTr="00C75BA1">
        <w:trPr>
          <w:trHeight w:val="334"/>
        </w:trPr>
        <w:tc>
          <w:tcPr>
            <w:tcW w:w="4234" w:type="dxa"/>
            <w:tcBorders>
              <w:top w:val="nil"/>
              <w:left w:val="single" w:sz="8" w:space="0" w:color="auto"/>
              <w:bottom w:val="single" w:sz="8" w:space="0" w:color="auto"/>
              <w:right w:val="single" w:sz="4" w:space="0" w:color="auto"/>
            </w:tcBorders>
            <w:shd w:val="clear" w:color="000000" w:fill="D9D9D9"/>
            <w:vAlign w:val="center"/>
            <w:hideMark/>
          </w:tcPr>
          <w:p w14:paraId="4119F996"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Grand Total</w:t>
            </w:r>
          </w:p>
        </w:tc>
        <w:tc>
          <w:tcPr>
            <w:tcW w:w="849" w:type="dxa"/>
            <w:tcBorders>
              <w:top w:val="nil"/>
              <w:left w:val="nil"/>
              <w:bottom w:val="single" w:sz="8" w:space="0" w:color="auto"/>
              <w:right w:val="single" w:sz="4" w:space="0" w:color="auto"/>
            </w:tcBorders>
            <w:shd w:val="clear" w:color="000000" w:fill="D9D9D9"/>
            <w:vAlign w:val="center"/>
            <w:hideMark/>
          </w:tcPr>
          <w:p w14:paraId="1C88BA7F"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948.107</w:t>
            </w:r>
          </w:p>
        </w:tc>
        <w:tc>
          <w:tcPr>
            <w:tcW w:w="956" w:type="dxa"/>
            <w:tcBorders>
              <w:top w:val="nil"/>
              <w:left w:val="nil"/>
              <w:bottom w:val="single" w:sz="8" w:space="0" w:color="auto"/>
              <w:right w:val="single" w:sz="4" w:space="0" w:color="auto"/>
            </w:tcBorders>
            <w:shd w:val="clear" w:color="000000" w:fill="D9D9D9"/>
            <w:vAlign w:val="center"/>
            <w:hideMark/>
          </w:tcPr>
          <w:p w14:paraId="44676D28"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950.628</w:t>
            </w:r>
          </w:p>
        </w:tc>
        <w:tc>
          <w:tcPr>
            <w:tcW w:w="986" w:type="dxa"/>
            <w:tcBorders>
              <w:top w:val="nil"/>
              <w:left w:val="nil"/>
              <w:bottom w:val="single" w:sz="8" w:space="0" w:color="auto"/>
              <w:right w:val="single" w:sz="4" w:space="0" w:color="auto"/>
            </w:tcBorders>
            <w:shd w:val="clear" w:color="000000" w:fill="D9D9D9"/>
            <w:vAlign w:val="center"/>
            <w:hideMark/>
          </w:tcPr>
          <w:p w14:paraId="4ED37B43"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2.521</w:t>
            </w:r>
          </w:p>
        </w:tc>
        <w:tc>
          <w:tcPr>
            <w:tcW w:w="880" w:type="dxa"/>
            <w:tcBorders>
              <w:top w:val="nil"/>
              <w:left w:val="nil"/>
              <w:bottom w:val="single" w:sz="8" w:space="0" w:color="auto"/>
              <w:right w:val="single" w:sz="4" w:space="0" w:color="auto"/>
            </w:tcBorders>
            <w:shd w:val="clear" w:color="000000" w:fill="D9D9D9"/>
            <w:vAlign w:val="center"/>
            <w:hideMark/>
          </w:tcPr>
          <w:p w14:paraId="222C8A1D"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0.27%</w:t>
            </w:r>
          </w:p>
        </w:tc>
        <w:tc>
          <w:tcPr>
            <w:tcW w:w="1153" w:type="dxa"/>
            <w:tcBorders>
              <w:top w:val="nil"/>
              <w:left w:val="nil"/>
              <w:bottom w:val="single" w:sz="8" w:space="0" w:color="auto"/>
              <w:right w:val="single" w:sz="4" w:space="0" w:color="auto"/>
            </w:tcBorders>
            <w:shd w:val="clear" w:color="000000" w:fill="D9D9D9"/>
            <w:vAlign w:val="center"/>
            <w:hideMark/>
          </w:tcPr>
          <w:p w14:paraId="21BB4D09"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7.991</w:t>
            </w:r>
          </w:p>
        </w:tc>
      </w:tr>
    </w:tbl>
    <w:p w14:paraId="4B8B2352" w14:textId="77777777" w:rsidR="000F78F1" w:rsidRPr="000F78F1" w:rsidRDefault="000F78F1" w:rsidP="000F78F1">
      <w:pPr>
        <w:spacing w:after="0"/>
        <w:rPr>
          <w:rFonts w:cs="Arial"/>
          <w:b/>
          <w:u w:val="single"/>
        </w:rPr>
      </w:pPr>
    </w:p>
    <w:p w14:paraId="33D6EDA9" w14:textId="77777777" w:rsidR="000F78F1" w:rsidRPr="00940D73" w:rsidRDefault="000F78F1" w:rsidP="000F78F1">
      <w:pPr>
        <w:numPr>
          <w:ilvl w:val="0"/>
          <w:numId w:val="5"/>
        </w:numPr>
        <w:autoSpaceDE/>
        <w:autoSpaceDN/>
        <w:adjustRightInd/>
        <w:spacing w:after="0" w:line="259" w:lineRule="auto"/>
        <w:contextualSpacing/>
        <w:rPr>
          <w:rFonts w:cs="Arial"/>
          <w:b/>
          <w:u w:val="single"/>
        </w:rPr>
      </w:pPr>
      <w:r w:rsidRPr="00940D73">
        <w:rPr>
          <w:rFonts w:cs="Arial"/>
          <w:b/>
          <w:u w:val="single"/>
        </w:rPr>
        <w:t xml:space="preserve">Executive Summary </w:t>
      </w:r>
    </w:p>
    <w:p w14:paraId="5768434F" w14:textId="77777777" w:rsidR="000F78F1" w:rsidRPr="00940D73" w:rsidRDefault="000F78F1" w:rsidP="000F78F1">
      <w:pPr>
        <w:spacing w:after="0"/>
        <w:rPr>
          <w:rFonts w:cs="Arial"/>
          <w:b/>
          <w:u w:val="single"/>
        </w:rPr>
      </w:pPr>
    </w:p>
    <w:p w14:paraId="497C7F0C" w14:textId="14909CE4" w:rsidR="00940D73" w:rsidRPr="00940D73" w:rsidRDefault="000F78F1" w:rsidP="00940D73">
      <w:pPr>
        <w:spacing w:after="0"/>
      </w:pPr>
      <w:r w:rsidRPr="00940D73">
        <w:rPr>
          <w:rFonts w:eastAsia="Times New Roman" w:cs="Arial"/>
          <w:lang w:eastAsia="en-GB"/>
        </w:rPr>
        <w:t xml:space="preserve">This report provides </w:t>
      </w:r>
      <w:r w:rsidR="00AA7F2A" w:rsidRPr="00940D73">
        <w:rPr>
          <w:rFonts w:eastAsia="Times New Roman" w:cs="Arial"/>
          <w:lang w:eastAsia="en-GB"/>
        </w:rPr>
        <w:t xml:space="preserve">an </w:t>
      </w:r>
      <w:r w:rsidRPr="00940D73">
        <w:rPr>
          <w:rFonts w:eastAsia="Times New Roman" w:cs="Arial"/>
          <w:lang w:eastAsia="en-GB"/>
        </w:rPr>
        <w:t xml:space="preserve">update to Cabinet on the county council's forecast 2022/23 revenue financial position as at the end of </w:t>
      </w:r>
      <w:r w:rsidR="00940D73" w:rsidRPr="00940D73">
        <w:rPr>
          <w:rFonts w:eastAsia="Times New Roman" w:cs="Arial"/>
          <w:lang w:eastAsia="en-GB"/>
        </w:rPr>
        <w:t>November</w:t>
      </w:r>
      <w:r w:rsidRPr="00940D73">
        <w:rPr>
          <w:rFonts w:eastAsia="Times New Roman" w:cs="Arial"/>
          <w:lang w:eastAsia="en-GB"/>
        </w:rPr>
        <w:t xml:space="preserve"> 2022</w:t>
      </w:r>
      <w:bookmarkStart w:id="2" w:name="_Int_RKysv9Gt"/>
      <w:r w:rsidRPr="00940D73">
        <w:rPr>
          <w:rFonts w:eastAsia="Times New Roman" w:cs="Arial"/>
          <w:lang w:eastAsia="en-GB"/>
        </w:rPr>
        <w:t xml:space="preserve">. </w:t>
      </w:r>
      <w:bookmarkEnd w:id="2"/>
      <w:r w:rsidRPr="00940D73">
        <w:rPr>
          <w:rFonts w:cs="Arial"/>
        </w:rPr>
        <w:t>The forecast outturn for 2022/23 is outlined in the table above, with a £</w:t>
      </w:r>
      <w:r w:rsidR="00940D73" w:rsidRPr="00940D73">
        <w:rPr>
          <w:rFonts w:cs="Arial"/>
        </w:rPr>
        <w:t>2.521</w:t>
      </w:r>
      <w:r w:rsidRPr="00940D73">
        <w:rPr>
          <w:rFonts w:cs="Arial"/>
        </w:rPr>
        <w:t>m overspend forecast, which by way of context is 0.</w:t>
      </w:r>
      <w:r w:rsidR="00940D73" w:rsidRPr="00940D73">
        <w:rPr>
          <w:rFonts w:cs="Arial"/>
        </w:rPr>
        <w:t>27</w:t>
      </w:r>
      <w:r w:rsidRPr="00940D73">
        <w:rPr>
          <w:rFonts w:cs="Arial"/>
        </w:rPr>
        <w:t xml:space="preserve">% of the county council's net budget.  </w:t>
      </w:r>
      <w:r w:rsidR="00940D73" w:rsidRPr="001D5D6A">
        <w:rPr>
          <w:rFonts w:cs="Arial"/>
        </w:rPr>
        <w:t xml:space="preserve">This represents an improvement across all Directorates of almost £5.5m from the c£8m </w:t>
      </w:r>
      <w:r w:rsidR="00940D73" w:rsidRPr="00940D73">
        <w:rPr>
          <w:rFonts w:cs="Arial"/>
        </w:rPr>
        <w:t>overspend that had been forecast at Quarter 2 and reported to Cabinet in December</w:t>
      </w:r>
      <w:r w:rsidRPr="00940D73">
        <w:rPr>
          <w:rFonts w:cs="Arial"/>
        </w:rPr>
        <w:t xml:space="preserve">. </w:t>
      </w:r>
      <w:r w:rsidR="00940D73" w:rsidRPr="00940D73">
        <w:rPr>
          <w:rFonts w:cs="Arial"/>
        </w:rPr>
        <w:t>The improvement reflects services having undertaken detailed reviews of their cost drivers</w:t>
      </w:r>
      <w:r w:rsidR="00940D73" w:rsidRPr="001D5D6A">
        <w:rPr>
          <w:rFonts w:cs="Arial"/>
        </w:rPr>
        <w:t xml:space="preserve"> and identifying actions to reduce costs and improve income levels</w:t>
      </w:r>
      <w:r w:rsidR="002146AB">
        <w:rPr>
          <w:rFonts w:cs="Arial"/>
        </w:rPr>
        <w:t xml:space="preserve"> including tighter control of vacancy management. The aim remains to </w:t>
      </w:r>
      <w:r w:rsidR="002146AB" w:rsidRPr="001D5D6A">
        <w:rPr>
          <w:rFonts w:cs="Arial"/>
        </w:rPr>
        <w:t>achieve</w:t>
      </w:r>
      <w:r w:rsidR="002146AB">
        <w:rPr>
          <w:rFonts w:cs="Arial"/>
        </w:rPr>
        <w:t xml:space="preserve"> a </w:t>
      </w:r>
      <w:r w:rsidR="00940D73" w:rsidRPr="001D5D6A">
        <w:rPr>
          <w:rFonts w:cs="Arial"/>
        </w:rPr>
        <w:t xml:space="preserve">break-even position </w:t>
      </w:r>
      <w:r w:rsidR="00940D73">
        <w:rPr>
          <w:rFonts w:cs="Arial"/>
        </w:rPr>
        <w:t xml:space="preserve">over the remainder </w:t>
      </w:r>
      <w:r w:rsidR="00940D73" w:rsidRPr="00940D73">
        <w:rPr>
          <w:rFonts w:cs="Arial"/>
        </w:rPr>
        <w:t>of the financial year.</w:t>
      </w:r>
    </w:p>
    <w:p w14:paraId="0661AB82" w14:textId="77777777" w:rsidR="006365CD" w:rsidRDefault="006365CD" w:rsidP="00940D73">
      <w:pPr>
        <w:spacing w:after="0"/>
        <w:rPr>
          <w:rFonts w:cs="Arial"/>
        </w:rPr>
      </w:pPr>
    </w:p>
    <w:p w14:paraId="73B6FA4A" w14:textId="5136EEC9" w:rsidR="000F78F1" w:rsidRDefault="006365CD" w:rsidP="000F78F1">
      <w:pPr>
        <w:spacing w:after="0"/>
        <w:rPr>
          <w:rFonts w:cs="Arial"/>
        </w:rPr>
      </w:pPr>
      <w:r>
        <w:rPr>
          <w:rFonts w:cs="Arial"/>
        </w:rPr>
        <w:t xml:space="preserve">The </w:t>
      </w:r>
      <w:r w:rsidR="001D2E39">
        <w:rPr>
          <w:rFonts w:cs="Arial"/>
        </w:rPr>
        <w:t>county council</w:t>
      </w:r>
      <w:r w:rsidR="0097536A">
        <w:rPr>
          <w:rFonts w:cs="Arial"/>
        </w:rPr>
        <w:t xml:space="preserve"> is</w:t>
      </w:r>
      <w:r w:rsidR="000F78F1" w:rsidRPr="00940D73">
        <w:rPr>
          <w:rFonts w:cs="Arial"/>
        </w:rPr>
        <w:t xml:space="preserve"> experiencing </w:t>
      </w:r>
      <w:r w:rsidR="002146AB">
        <w:rPr>
          <w:rFonts w:cs="Arial"/>
        </w:rPr>
        <w:t>increasing</w:t>
      </w:r>
      <w:r w:rsidR="000F78F1" w:rsidRPr="00940D73">
        <w:rPr>
          <w:rFonts w:cs="Arial"/>
        </w:rPr>
        <w:t xml:space="preserve"> demand for services particularly adult social care support for residents in their own homes</w:t>
      </w:r>
      <w:r w:rsidR="002146AB">
        <w:rPr>
          <w:rFonts w:cs="Arial"/>
        </w:rPr>
        <w:t>,</w:t>
      </w:r>
      <w:r w:rsidR="000F78F1" w:rsidRPr="00940D73">
        <w:rPr>
          <w:rFonts w:cs="Arial"/>
        </w:rPr>
        <w:t xml:space="preserve"> and children’s social care overall.  </w:t>
      </w:r>
      <w:r w:rsidR="00F61EA3">
        <w:rPr>
          <w:rFonts w:cs="Arial"/>
        </w:rPr>
        <w:t>T</w:t>
      </w:r>
      <w:r w:rsidR="000F78F1" w:rsidRPr="00940D73">
        <w:rPr>
          <w:rFonts w:cs="Arial"/>
        </w:rPr>
        <w:t xml:space="preserve">he </w:t>
      </w:r>
      <w:r w:rsidR="002146AB">
        <w:rPr>
          <w:rFonts w:cs="Arial"/>
        </w:rPr>
        <w:t xml:space="preserve">county council continues to respond to </w:t>
      </w:r>
      <w:r w:rsidR="000F78F1" w:rsidRPr="00940D73">
        <w:rPr>
          <w:rFonts w:cs="Arial"/>
        </w:rPr>
        <w:t xml:space="preserve">the acute health sector </w:t>
      </w:r>
      <w:r w:rsidR="002146AB">
        <w:rPr>
          <w:rFonts w:cs="Arial"/>
        </w:rPr>
        <w:t>seeking</w:t>
      </w:r>
      <w:r w:rsidR="000F78F1" w:rsidRPr="00940D73">
        <w:rPr>
          <w:rFonts w:cs="Arial"/>
        </w:rPr>
        <w:t xml:space="preserve"> to free up hospital beds and offer alternative care solutions. Longer term, it is anticipated </w:t>
      </w:r>
      <w:r w:rsidR="00CE5CDC">
        <w:rPr>
          <w:rFonts w:cs="Arial"/>
        </w:rPr>
        <w:t xml:space="preserve">there will </w:t>
      </w:r>
      <w:r w:rsidR="002146AB">
        <w:rPr>
          <w:rFonts w:cs="Arial"/>
        </w:rPr>
        <w:t>be high levels of</w:t>
      </w:r>
      <w:r w:rsidR="000F78F1" w:rsidRPr="00940D73">
        <w:rPr>
          <w:rFonts w:cs="Arial"/>
        </w:rPr>
        <w:t xml:space="preserve"> demand continuing across Adults and Children's services, </w:t>
      </w:r>
      <w:r w:rsidR="002146AB">
        <w:rPr>
          <w:rFonts w:cs="Arial"/>
        </w:rPr>
        <w:t>as well as</w:t>
      </w:r>
      <w:r w:rsidR="000F78F1" w:rsidRPr="00940D73">
        <w:rPr>
          <w:rFonts w:cs="Arial"/>
        </w:rPr>
        <w:t xml:space="preserve"> inflationary pressure from providers of care </w:t>
      </w:r>
      <w:bookmarkStart w:id="3" w:name="_Int_3dZ94QO5"/>
      <w:r w:rsidR="000F78F1" w:rsidRPr="00940D73">
        <w:rPr>
          <w:rFonts w:cs="Arial"/>
        </w:rPr>
        <w:t xml:space="preserve">and </w:t>
      </w:r>
      <w:bookmarkEnd w:id="3"/>
      <w:r w:rsidR="002146AB">
        <w:rPr>
          <w:rFonts w:cs="Arial"/>
        </w:rPr>
        <w:t>the</w:t>
      </w:r>
      <w:r w:rsidR="000F78F1" w:rsidRPr="00940D73">
        <w:rPr>
          <w:rFonts w:cs="Arial"/>
        </w:rPr>
        <w:t xml:space="preserve"> </w:t>
      </w:r>
      <w:bookmarkStart w:id="4" w:name="_Int_dzwYB1fe"/>
      <w:r w:rsidR="000F78F1" w:rsidRPr="00940D73">
        <w:rPr>
          <w:rFonts w:cs="Arial"/>
        </w:rPr>
        <w:t>consequence of</w:t>
      </w:r>
      <w:bookmarkEnd w:id="4"/>
      <w:r w:rsidR="000F78F1" w:rsidRPr="00940D73">
        <w:rPr>
          <w:rFonts w:cs="Arial"/>
        </w:rPr>
        <w:t xml:space="preserve"> </w:t>
      </w:r>
      <w:r w:rsidR="002146AB">
        <w:rPr>
          <w:rFonts w:cs="Arial"/>
        </w:rPr>
        <w:t xml:space="preserve">the </w:t>
      </w:r>
      <w:r w:rsidR="000F78F1" w:rsidRPr="00940D73">
        <w:rPr>
          <w:rFonts w:cs="Arial"/>
        </w:rPr>
        <w:t xml:space="preserve">Fair Cost of Care </w:t>
      </w:r>
      <w:r w:rsidR="002146AB">
        <w:rPr>
          <w:rFonts w:cs="Arial"/>
        </w:rPr>
        <w:t>review</w:t>
      </w:r>
      <w:r w:rsidR="00940D73">
        <w:rPr>
          <w:rFonts w:cs="Arial"/>
        </w:rPr>
        <w:t xml:space="preserve">, </w:t>
      </w:r>
      <w:r w:rsidR="002146AB">
        <w:rPr>
          <w:rFonts w:cs="Arial"/>
        </w:rPr>
        <w:t xml:space="preserve">despite the announced delay </w:t>
      </w:r>
      <w:r w:rsidR="00940D73">
        <w:rPr>
          <w:rFonts w:cs="Arial"/>
        </w:rPr>
        <w:t>in the Provisional Financial Settlement in December 2022.</w:t>
      </w:r>
    </w:p>
    <w:p w14:paraId="43738590" w14:textId="77777777" w:rsidR="002E0E63" w:rsidRPr="00C75BA1" w:rsidRDefault="002E0E63" w:rsidP="000F78F1">
      <w:pPr>
        <w:spacing w:after="0"/>
        <w:rPr>
          <w:rFonts w:cs="Arial"/>
          <w:highlight w:val="yellow"/>
        </w:rPr>
      </w:pPr>
    </w:p>
    <w:p w14:paraId="7B155E27" w14:textId="6CB13355" w:rsidR="000F78F1" w:rsidRDefault="002146AB" w:rsidP="002E0E63">
      <w:pPr>
        <w:spacing w:after="0"/>
        <w:rPr>
          <w:rFonts w:cs="Arial"/>
        </w:rPr>
      </w:pPr>
      <w:r>
        <w:rPr>
          <w:rFonts w:cs="Arial"/>
        </w:rPr>
        <w:t xml:space="preserve">In the forecast position, demand pressures </w:t>
      </w:r>
      <w:r w:rsidR="00940D73" w:rsidRPr="001D5D6A">
        <w:rPr>
          <w:rFonts w:cs="Arial"/>
        </w:rPr>
        <w:t xml:space="preserve">in Children's Social Care </w:t>
      </w:r>
      <w:r>
        <w:rPr>
          <w:rFonts w:cs="Arial"/>
        </w:rPr>
        <w:t xml:space="preserve">are highlighted </w:t>
      </w:r>
      <w:r w:rsidR="00940D73" w:rsidRPr="001D5D6A">
        <w:rPr>
          <w:rFonts w:cs="Arial"/>
        </w:rPr>
        <w:t xml:space="preserve">with an overspend of c£12m forecast </w:t>
      </w:r>
      <w:proofErr w:type="gramStart"/>
      <w:r w:rsidR="00940D73" w:rsidRPr="001D5D6A">
        <w:rPr>
          <w:rFonts w:cs="Arial"/>
        </w:rPr>
        <w:t>and also</w:t>
      </w:r>
      <w:proofErr w:type="gramEnd"/>
      <w:r w:rsidR="00940D73" w:rsidRPr="001D5D6A">
        <w:rPr>
          <w:rFonts w:cs="Arial"/>
        </w:rPr>
        <w:t xml:space="preserve"> in Adult Services, whilst there are still pressures in terms of demand and cost of packages, these have been offset by some one-off savings particularly in relation to income. </w:t>
      </w:r>
      <w:r>
        <w:rPr>
          <w:rFonts w:cs="Arial"/>
        </w:rPr>
        <w:t>Within the 2022/23 forecast position, there are various one-off underspends across services, which are unlikely to be available in future years to meet any additional demand or inflationary pressures for those assumed within the revised medium term financial strategy.</w:t>
      </w:r>
    </w:p>
    <w:p w14:paraId="650B3D1C" w14:textId="77777777" w:rsidR="002E0E63" w:rsidRPr="00C75BA1" w:rsidRDefault="002E0E63" w:rsidP="002E0E63">
      <w:pPr>
        <w:spacing w:after="0"/>
        <w:rPr>
          <w:rFonts w:eastAsia="Times New Roman" w:cs="Arial"/>
          <w:highlight w:val="yellow"/>
          <w:lang w:eastAsia="en-GB"/>
        </w:rPr>
      </w:pPr>
    </w:p>
    <w:p w14:paraId="7DC9FC32" w14:textId="45F21C4C" w:rsidR="000F78F1" w:rsidRDefault="000F78F1" w:rsidP="002E0E63">
      <w:pPr>
        <w:spacing w:after="0"/>
        <w:rPr>
          <w:rFonts w:eastAsia="Times New Roman" w:cs="Arial"/>
          <w:lang w:eastAsia="en-GB"/>
        </w:rPr>
      </w:pPr>
      <w:r w:rsidRPr="00940D73">
        <w:rPr>
          <w:rFonts w:eastAsia="Times New Roman" w:cs="Arial"/>
          <w:lang w:eastAsia="en-GB"/>
        </w:rPr>
        <w:t xml:space="preserve">During the last </w:t>
      </w:r>
      <w:bookmarkStart w:id="5" w:name="_Int_0tz9UDgz"/>
      <w:r w:rsidRPr="00940D73">
        <w:rPr>
          <w:rFonts w:eastAsia="Times New Roman" w:cs="Arial"/>
          <w:lang w:eastAsia="en-GB"/>
        </w:rPr>
        <w:t>two financial year</w:t>
      </w:r>
      <w:bookmarkEnd w:id="5"/>
      <w:r w:rsidRPr="00940D73">
        <w:rPr>
          <w:rFonts w:eastAsia="Times New Roman" w:cs="Arial"/>
          <w:lang w:eastAsia="en-GB"/>
        </w:rPr>
        <w:t>s there were multiple grants awarded by the Government to local authorities to support the</w:t>
      </w:r>
      <w:r w:rsidR="00CA37C1">
        <w:rPr>
          <w:rFonts w:eastAsia="Times New Roman" w:cs="Arial"/>
          <w:lang w:eastAsia="en-GB"/>
        </w:rPr>
        <w:t>m</w:t>
      </w:r>
      <w:r w:rsidRPr="00940D73">
        <w:rPr>
          <w:rFonts w:eastAsia="Times New Roman" w:cs="Arial"/>
          <w:lang w:eastAsia="en-GB"/>
        </w:rPr>
        <w:t xml:space="preserve"> during the pandemic, these have largely </w:t>
      </w:r>
      <w:bookmarkStart w:id="6" w:name="_Int_c5nyCDTw"/>
      <w:r w:rsidRPr="00940D73">
        <w:rPr>
          <w:rFonts w:eastAsia="Times New Roman" w:cs="Arial"/>
          <w:lang w:eastAsia="en-GB"/>
        </w:rPr>
        <w:t>come to an end</w:t>
      </w:r>
      <w:bookmarkEnd w:id="6"/>
      <w:r w:rsidRPr="00940D73">
        <w:rPr>
          <w:rFonts w:eastAsia="Times New Roman" w:cs="Arial"/>
          <w:lang w:eastAsia="en-GB"/>
        </w:rPr>
        <w:t xml:space="preserve">. </w:t>
      </w:r>
      <w:r w:rsidR="005F7DA0">
        <w:rPr>
          <w:rFonts w:eastAsia="Times New Roman" w:cs="Arial"/>
          <w:lang w:eastAsia="en-GB"/>
        </w:rPr>
        <w:t>S</w:t>
      </w:r>
      <w:r w:rsidRPr="00940D73">
        <w:rPr>
          <w:rFonts w:eastAsia="Times New Roman" w:cs="Arial"/>
          <w:lang w:eastAsia="en-GB"/>
        </w:rPr>
        <w:t xml:space="preserve">ome Contain Outbreak Management Fund grant </w:t>
      </w:r>
      <w:r w:rsidR="00E93D18">
        <w:rPr>
          <w:rFonts w:eastAsia="Times New Roman" w:cs="Arial"/>
          <w:lang w:eastAsia="en-GB"/>
        </w:rPr>
        <w:t xml:space="preserve">was carried forward </w:t>
      </w:r>
      <w:r w:rsidRPr="00940D73">
        <w:rPr>
          <w:rFonts w:eastAsia="Times New Roman" w:cs="Arial"/>
          <w:lang w:eastAsia="en-GB"/>
        </w:rPr>
        <w:t xml:space="preserve">for use to contain any further outbreaks and this is being </w:t>
      </w:r>
      <w:r w:rsidR="00D52E88">
        <w:rPr>
          <w:rFonts w:eastAsia="Times New Roman" w:cs="Arial"/>
          <w:lang w:eastAsia="en-GB"/>
        </w:rPr>
        <w:t xml:space="preserve">kept under regular </w:t>
      </w:r>
      <w:r w:rsidR="00D52E88">
        <w:rPr>
          <w:rFonts w:eastAsia="Times New Roman" w:cs="Arial"/>
          <w:lang w:eastAsia="en-GB"/>
        </w:rPr>
        <w:lastRenderedPageBreak/>
        <w:t>review</w:t>
      </w:r>
      <w:r w:rsidRPr="00940D73">
        <w:rPr>
          <w:rFonts w:eastAsia="Times New Roman" w:cs="Arial"/>
          <w:lang w:eastAsia="en-GB"/>
        </w:rPr>
        <w:t xml:space="preserve">. </w:t>
      </w:r>
      <w:r w:rsidR="009520D6">
        <w:rPr>
          <w:rFonts w:eastAsia="Times New Roman" w:cs="Arial"/>
          <w:lang w:eastAsia="en-GB"/>
        </w:rPr>
        <w:t xml:space="preserve">These one-off grants have supported pressures </w:t>
      </w:r>
      <w:proofErr w:type="gramStart"/>
      <w:r w:rsidR="009520D6">
        <w:rPr>
          <w:rFonts w:eastAsia="Times New Roman" w:cs="Arial"/>
          <w:lang w:eastAsia="en-GB"/>
        </w:rPr>
        <w:t>as a result of</w:t>
      </w:r>
      <w:proofErr w:type="gramEnd"/>
      <w:r w:rsidR="009520D6">
        <w:rPr>
          <w:rFonts w:eastAsia="Times New Roman" w:cs="Arial"/>
          <w:lang w:eastAsia="en-GB"/>
        </w:rPr>
        <w:t xml:space="preserve"> the pandemic, such as increases in demand and delays in the delivery of savings. </w:t>
      </w:r>
    </w:p>
    <w:p w14:paraId="2C328C6A" w14:textId="77777777" w:rsidR="00940D73" w:rsidRPr="00940D73" w:rsidRDefault="00940D73" w:rsidP="000F78F1">
      <w:pPr>
        <w:spacing w:after="0"/>
        <w:rPr>
          <w:rFonts w:eastAsia="Times New Roman" w:cs="Arial"/>
          <w:lang w:eastAsia="en-GB"/>
        </w:rPr>
      </w:pPr>
    </w:p>
    <w:p w14:paraId="3311093A" w14:textId="220CCA46" w:rsidR="000F78F1" w:rsidRDefault="00940D73" w:rsidP="00940D73">
      <w:pPr>
        <w:spacing w:after="0"/>
        <w:rPr>
          <w:rFonts w:cs="Arial"/>
        </w:rPr>
      </w:pPr>
      <w:r w:rsidRPr="000A26C8">
        <w:rPr>
          <w:rFonts w:cs="Arial"/>
        </w:rPr>
        <w:t>The savings that have been agreed to date are being closely monitored. There is a combination of savings that were planned to be delivered in 2021/22 or earlier and were delayed due to the pandemic, and the budgeted savings agreed to be reprofiled for 2022/23</w:t>
      </w:r>
      <w:bookmarkStart w:id="7" w:name="_Int_BatlyQpH"/>
      <w:r w:rsidRPr="000A26C8">
        <w:rPr>
          <w:rFonts w:cs="Arial"/>
        </w:rPr>
        <w:t xml:space="preserve">. </w:t>
      </w:r>
      <w:bookmarkEnd w:id="7"/>
      <w:r w:rsidR="009520D6">
        <w:rPr>
          <w:rFonts w:cs="Arial"/>
        </w:rPr>
        <w:t xml:space="preserve">There is now a strong focus on delivery of savings agreed within the budget. </w:t>
      </w:r>
    </w:p>
    <w:p w14:paraId="51144944" w14:textId="77777777" w:rsidR="00940D73" w:rsidRPr="00940D73" w:rsidRDefault="00940D73" w:rsidP="00940D73">
      <w:pPr>
        <w:spacing w:after="0"/>
        <w:rPr>
          <w:rFonts w:cs="Arial"/>
        </w:rPr>
      </w:pPr>
    </w:p>
    <w:p w14:paraId="2F9BD7DA" w14:textId="4A3B79AC" w:rsidR="000F78F1" w:rsidRPr="000F78F1" w:rsidRDefault="000F78F1" w:rsidP="00940D73">
      <w:pPr>
        <w:spacing w:after="0"/>
        <w:rPr>
          <w:rFonts w:cs="Arial"/>
        </w:rPr>
      </w:pPr>
      <w:r w:rsidRPr="00940D73">
        <w:rPr>
          <w:rFonts w:cs="Arial"/>
        </w:rPr>
        <w:t xml:space="preserve">At </w:t>
      </w:r>
      <w:r w:rsidR="00F077F6">
        <w:rPr>
          <w:rFonts w:cs="Arial"/>
        </w:rPr>
        <w:t>C</w:t>
      </w:r>
      <w:r w:rsidRPr="00940D73">
        <w:rPr>
          <w:rFonts w:cs="Arial"/>
        </w:rPr>
        <w:t>abinet</w:t>
      </w:r>
      <w:r w:rsidR="00F077F6">
        <w:rPr>
          <w:rFonts w:cs="Arial"/>
        </w:rPr>
        <w:t xml:space="preserve"> in November</w:t>
      </w:r>
      <w:r w:rsidRPr="00940D73">
        <w:rPr>
          <w:rFonts w:cs="Arial"/>
        </w:rPr>
        <w:t xml:space="preserve">, a further c£86m of additional savings proposals were agreed and strategic targets of £32m to help balance the budget over the medium-term financial </w:t>
      </w:r>
      <w:r w:rsidR="003F177D">
        <w:rPr>
          <w:rFonts w:cs="Arial"/>
        </w:rPr>
        <w:t xml:space="preserve">strategy </w:t>
      </w:r>
      <w:r w:rsidRPr="00940D73">
        <w:rPr>
          <w:rFonts w:cs="Arial"/>
        </w:rPr>
        <w:t xml:space="preserve">period. </w:t>
      </w:r>
      <w:proofErr w:type="gramStart"/>
      <w:r w:rsidRPr="00940D73">
        <w:rPr>
          <w:rFonts w:cs="Arial"/>
        </w:rPr>
        <w:t>In order to</w:t>
      </w:r>
      <w:proofErr w:type="gramEnd"/>
      <w:r w:rsidRPr="00940D73">
        <w:rPr>
          <w:rFonts w:cs="Arial"/>
        </w:rPr>
        <w:t xml:space="preserve"> monitor the delivery of both those savings previously agreed and still to be delivered as well as the new package of savings to be agreed in setting the 2023/24 budget, each Directorate </w:t>
      </w:r>
      <w:r w:rsidR="00D52E88">
        <w:rPr>
          <w:rFonts w:cs="Arial"/>
        </w:rPr>
        <w:t>has</w:t>
      </w:r>
      <w:r w:rsidRPr="00940D73">
        <w:rPr>
          <w:rFonts w:cs="Arial"/>
        </w:rPr>
        <w:t xml:space="preserve"> a Finance Monitoring Board. The purpose of the Boards </w:t>
      </w:r>
      <w:r w:rsidR="00216D84">
        <w:rPr>
          <w:rFonts w:cs="Arial"/>
        </w:rPr>
        <w:t>is</w:t>
      </w:r>
      <w:r w:rsidRPr="00940D73">
        <w:rPr>
          <w:rFonts w:cs="Arial"/>
        </w:rPr>
        <w:t xml:space="preserve"> to challenge and monitor delivery of savings, in addition to removing barriers to delivery</w:t>
      </w:r>
      <w:r w:rsidR="00AA7F2A" w:rsidRPr="00940D73">
        <w:rPr>
          <w:rFonts w:cs="Arial"/>
        </w:rPr>
        <w:t>,</w:t>
      </w:r>
      <w:r w:rsidRPr="00940D73">
        <w:rPr>
          <w:rFonts w:cs="Arial"/>
        </w:rPr>
        <w:t xml:space="preserve"> as well as escalating any issues to ensure savings are delivered within their profiled timescales and earlier if possible.</w:t>
      </w:r>
      <w:r w:rsidRPr="000F78F1">
        <w:rPr>
          <w:rFonts w:cs="Arial"/>
        </w:rPr>
        <w:t xml:space="preserve"> </w:t>
      </w:r>
    </w:p>
    <w:p w14:paraId="08B4A19D" w14:textId="77777777" w:rsidR="000F78F1" w:rsidRPr="000F78F1" w:rsidRDefault="000F78F1" w:rsidP="000F78F1">
      <w:pPr>
        <w:spacing w:after="0"/>
        <w:rPr>
          <w:rFonts w:cs="Arial"/>
        </w:rPr>
      </w:pPr>
    </w:p>
    <w:p w14:paraId="14A8A83A" w14:textId="77777777" w:rsidR="000F78F1" w:rsidRPr="000F78F1" w:rsidRDefault="000F78F1" w:rsidP="000F78F1">
      <w:pPr>
        <w:spacing w:after="0"/>
        <w:rPr>
          <w:rFonts w:cs="Arial"/>
          <w:highlight w:val="yellow"/>
        </w:rPr>
      </w:pPr>
    </w:p>
    <w:p w14:paraId="254A88A5" w14:textId="77777777" w:rsidR="000F78F1" w:rsidRPr="000F78F1" w:rsidRDefault="000F78F1" w:rsidP="000F78F1">
      <w:pPr>
        <w:spacing w:after="0"/>
        <w:rPr>
          <w:rFonts w:cs="Arial"/>
          <w:highlight w:val="yellow"/>
        </w:rPr>
      </w:pPr>
    </w:p>
    <w:p w14:paraId="3768F809" w14:textId="77777777" w:rsidR="000F78F1" w:rsidRPr="000F78F1" w:rsidRDefault="000F78F1" w:rsidP="000F78F1">
      <w:pPr>
        <w:spacing w:after="0"/>
        <w:rPr>
          <w:rFonts w:cs="Arial"/>
          <w:highlight w:val="yellow"/>
        </w:rPr>
      </w:pPr>
    </w:p>
    <w:p w14:paraId="51003FCB" w14:textId="77777777" w:rsidR="000F78F1" w:rsidRPr="000F78F1" w:rsidRDefault="000F78F1" w:rsidP="000F78F1">
      <w:pPr>
        <w:spacing w:after="0"/>
        <w:rPr>
          <w:rFonts w:cs="Arial"/>
          <w:highlight w:val="yellow"/>
        </w:rPr>
      </w:pPr>
    </w:p>
    <w:p w14:paraId="119C3660" w14:textId="77777777" w:rsidR="000F78F1" w:rsidRPr="000F78F1" w:rsidRDefault="000F78F1" w:rsidP="000F78F1">
      <w:pPr>
        <w:spacing w:after="0"/>
        <w:rPr>
          <w:rFonts w:cs="Arial"/>
          <w:highlight w:val="yellow"/>
        </w:rPr>
      </w:pPr>
    </w:p>
    <w:p w14:paraId="30DEBC5F" w14:textId="77777777" w:rsidR="000F78F1" w:rsidRPr="000F78F1" w:rsidRDefault="000F78F1" w:rsidP="000F78F1">
      <w:pPr>
        <w:spacing w:after="0"/>
        <w:rPr>
          <w:rFonts w:cs="Arial"/>
          <w:highlight w:val="yellow"/>
        </w:rPr>
      </w:pPr>
    </w:p>
    <w:p w14:paraId="6BED4487" w14:textId="77777777" w:rsidR="000F78F1" w:rsidRPr="000F78F1" w:rsidRDefault="000F78F1" w:rsidP="000F78F1">
      <w:pPr>
        <w:spacing w:after="0"/>
        <w:rPr>
          <w:rFonts w:cs="Arial"/>
          <w:highlight w:val="yellow"/>
        </w:rPr>
      </w:pPr>
    </w:p>
    <w:p w14:paraId="086ADBD8" w14:textId="77777777" w:rsidR="000F78F1" w:rsidRPr="000F78F1" w:rsidRDefault="000F78F1" w:rsidP="000F78F1">
      <w:pPr>
        <w:spacing w:after="0"/>
        <w:rPr>
          <w:rFonts w:cs="Arial"/>
          <w:highlight w:val="yellow"/>
        </w:rPr>
      </w:pPr>
    </w:p>
    <w:p w14:paraId="0680970F" w14:textId="77777777" w:rsidR="000F78F1" w:rsidRPr="000F78F1" w:rsidRDefault="000F78F1" w:rsidP="000F78F1">
      <w:pPr>
        <w:spacing w:after="0"/>
        <w:rPr>
          <w:rFonts w:cs="Arial"/>
          <w:highlight w:val="yellow"/>
        </w:rPr>
      </w:pPr>
    </w:p>
    <w:p w14:paraId="0E2FC6A9" w14:textId="77777777" w:rsidR="000F78F1" w:rsidRPr="000F78F1" w:rsidRDefault="000F78F1" w:rsidP="000F78F1">
      <w:pPr>
        <w:spacing w:after="0"/>
        <w:rPr>
          <w:rFonts w:cs="Arial"/>
          <w:highlight w:val="yellow"/>
        </w:rPr>
      </w:pPr>
    </w:p>
    <w:p w14:paraId="59E4FB50" w14:textId="77777777" w:rsidR="000F78F1" w:rsidRPr="000F78F1" w:rsidRDefault="000F78F1" w:rsidP="000F78F1">
      <w:pPr>
        <w:spacing w:after="0"/>
        <w:rPr>
          <w:rFonts w:cs="Arial"/>
          <w:highlight w:val="yellow"/>
        </w:rPr>
      </w:pPr>
    </w:p>
    <w:p w14:paraId="408A1590" w14:textId="77777777" w:rsidR="000F78F1" w:rsidRPr="000F78F1" w:rsidRDefault="000F78F1" w:rsidP="000F78F1">
      <w:pPr>
        <w:spacing w:after="0"/>
        <w:rPr>
          <w:rFonts w:cs="Arial"/>
          <w:highlight w:val="yellow"/>
        </w:rPr>
      </w:pPr>
    </w:p>
    <w:p w14:paraId="0C6A0590" w14:textId="77777777" w:rsidR="000F78F1" w:rsidRPr="000F78F1" w:rsidRDefault="000F78F1" w:rsidP="000F78F1">
      <w:pPr>
        <w:spacing w:after="0"/>
        <w:rPr>
          <w:rFonts w:cs="Arial"/>
          <w:highlight w:val="yellow"/>
        </w:rPr>
      </w:pPr>
    </w:p>
    <w:p w14:paraId="5A642D64" w14:textId="77777777" w:rsidR="000F78F1" w:rsidRPr="000F78F1" w:rsidRDefault="000F78F1" w:rsidP="000F78F1">
      <w:pPr>
        <w:spacing w:after="0"/>
        <w:rPr>
          <w:rFonts w:cs="Arial"/>
          <w:highlight w:val="yellow"/>
        </w:rPr>
      </w:pPr>
    </w:p>
    <w:p w14:paraId="502E4B7D" w14:textId="77777777" w:rsidR="000F78F1" w:rsidRPr="000F78F1" w:rsidRDefault="000F78F1" w:rsidP="000F78F1">
      <w:pPr>
        <w:spacing w:after="0"/>
        <w:rPr>
          <w:rFonts w:cs="Arial"/>
          <w:highlight w:val="yellow"/>
        </w:rPr>
      </w:pPr>
    </w:p>
    <w:p w14:paraId="1B12E569" w14:textId="77777777" w:rsidR="000F78F1" w:rsidRPr="000F78F1" w:rsidRDefault="000F78F1" w:rsidP="000F78F1">
      <w:pPr>
        <w:spacing w:after="0"/>
        <w:rPr>
          <w:rFonts w:cs="Arial"/>
          <w:highlight w:val="yellow"/>
        </w:rPr>
      </w:pPr>
    </w:p>
    <w:p w14:paraId="3EF7AF4E" w14:textId="77777777" w:rsidR="000F78F1" w:rsidRPr="000F78F1" w:rsidRDefault="000F78F1" w:rsidP="000F78F1">
      <w:pPr>
        <w:spacing w:after="0"/>
        <w:rPr>
          <w:rFonts w:cs="Arial"/>
          <w:highlight w:val="yellow"/>
        </w:rPr>
      </w:pPr>
    </w:p>
    <w:p w14:paraId="3F0D2C16" w14:textId="77777777" w:rsidR="000F78F1" w:rsidRPr="000F78F1" w:rsidRDefault="000F78F1" w:rsidP="000F78F1">
      <w:pPr>
        <w:spacing w:after="0"/>
        <w:rPr>
          <w:rFonts w:cs="Arial"/>
          <w:highlight w:val="yellow"/>
        </w:rPr>
      </w:pPr>
    </w:p>
    <w:p w14:paraId="77611F48" w14:textId="77777777" w:rsidR="000F78F1" w:rsidRPr="000F78F1" w:rsidRDefault="000F78F1" w:rsidP="000F78F1">
      <w:pPr>
        <w:spacing w:after="0"/>
        <w:rPr>
          <w:rFonts w:cs="Arial"/>
          <w:highlight w:val="yellow"/>
        </w:rPr>
      </w:pPr>
    </w:p>
    <w:p w14:paraId="63F9FE72" w14:textId="77777777" w:rsidR="000F78F1" w:rsidRPr="000F78F1" w:rsidRDefault="000F78F1" w:rsidP="000F78F1">
      <w:pPr>
        <w:spacing w:after="0"/>
        <w:rPr>
          <w:rFonts w:cs="Arial"/>
          <w:highlight w:val="yellow"/>
        </w:rPr>
      </w:pPr>
    </w:p>
    <w:p w14:paraId="08A34DD5" w14:textId="66B79CAA" w:rsidR="000F78F1" w:rsidRDefault="000F78F1" w:rsidP="000F78F1">
      <w:pPr>
        <w:spacing w:after="0"/>
        <w:rPr>
          <w:rFonts w:cs="Arial"/>
          <w:highlight w:val="yellow"/>
        </w:rPr>
      </w:pPr>
    </w:p>
    <w:p w14:paraId="2D021627" w14:textId="44189B54" w:rsidR="002E0E63" w:rsidRDefault="002E0E63" w:rsidP="000F78F1">
      <w:pPr>
        <w:spacing w:after="0"/>
        <w:rPr>
          <w:rFonts w:cs="Arial"/>
          <w:highlight w:val="yellow"/>
        </w:rPr>
      </w:pPr>
    </w:p>
    <w:p w14:paraId="7F0BB217" w14:textId="7EBC0E9E" w:rsidR="002E0E63" w:rsidRDefault="002E0E63" w:rsidP="000F78F1">
      <w:pPr>
        <w:spacing w:after="0"/>
        <w:rPr>
          <w:rFonts w:cs="Arial"/>
          <w:highlight w:val="yellow"/>
        </w:rPr>
      </w:pPr>
    </w:p>
    <w:p w14:paraId="0F89C3C1" w14:textId="33277C6F" w:rsidR="002E0E63" w:rsidRDefault="002E0E63" w:rsidP="000F78F1">
      <w:pPr>
        <w:spacing w:after="0"/>
        <w:rPr>
          <w:rFonts w:cs="Arial"/>
          <w:highlight w:val="yellow"/>
        </w:rPr>
      </w:pPr>
    </w:p>
    <w:p w14:paraId="0CDD8671" w14:textId="297B67E8" w:rsidR="002E0E63" w:rsidRDefault="002E0E63" w:rsidP="000F78F1">
      <w:pPr>
        <w:spacing w:after="0"/>
        <w:rPr>
          <w:rFonts w:cs="Arial"/>
          <w:highlight w:val="yellow"/>
        </w:rPr>
      </w:pPr>
    </w:p>
    <w:p w14:paraId="7E4DF45D" w14:textId="0FA47FC3" w:rsidR="002E0E63" w:rsidRDefault="002E0E63" w:rsidP="000F78F1">
      <w:pPr>
        <w:spacing w:after="0"/>
        <w:rPr>
          <w:rFonts w:cs="Arial"/>
          <w:highlight w:val="yellow"/>
        </w:rPr>
      </w:pPr>
    </w:p>
    <w:p w14:paraId="34C60593" w14:textId="2BD0B8E9" w:rsidR="002E0E63" w:rsidRDefault="002E0E63" w:rsidP="000F78F1">
      <w:pPr>
        <w:spacing w:after="0"/>
        <w:rPr>
          <w:rFonts w:cs="Arial"/>
          <w:highlight w:val="yellow"/>
        </w:rPr>
      </w:pPr>
    </w:p>
    <w:p w14:paraId="01529AB0" w14:textId="77777777" w:rsidR="002E0E63" w:rsidRPr="000F78F1" w:rsidRDefault="002E0E63" w:rsidP="000F78F1">
      <w:pPr>
        <w:spacing w:after="0"/>
        <w:rPr>
          <w:rFonts w:cs="Arial"/>
          <w:highlight w:val="yellow"/>
        </w:rPr>
      </w:pPr>
    </w:p>
    <w:p w14:paraId="36B6C0AB" w14:textId="266DFFBF" w:rsidR="000F78F1" w:rsidRDefault="000F78F1" w:rsidP="000F78F1">
      <w:pPr>
        <w:spacing w:after="0"/>
        <w:rPr>
          <w:rFonts w:cs="Arial"/>
          <w:highlight w:val="yellow"/>
        </w:rPr>
      </w:pPr>
    </w:p>
    <w:p w14:paraId="64F900F3" w14:textId="77777777" w:rsidR="00940D73" w:rsidRPr="000F78F1" w:rsidRDefault="00940D73" w:rsidP="000F78F1">
      <w:pPr>
        <w:spacing w:after="0"/>
        <w:rPr>
          <w:rFonts w:cs="Arial"/>
          <w:highlight w:val="yellow"/>
        </w:rPr>
      </w:pPr>
    </w:p>
    <w:p w14:paraId="0F77C3AA" w14:textId="0EED9CC5" w:rsidR="000F78F1" w:rsidRDefault="000F78F1" w:rsidP="000F78F1">
      <w:pPr>
        <w:spacing w:after="0"/>
        <w:rPr>
          <w:rFonts w:cs="Arial"/>
          <w:highlight w:val="yellow"/>
        </w:rPr>
      </w:pPr>
    </w:p>
    <w:p w14:paraId="4CA3F933" w14:textId="77777777" w:rsidR="009C0D7D" w:rsidRPr="000F78F1" w:rsidRDefault="009C0D7D" w:rsidP="000F78F1">
      <w:pPr>
        <w:spacing w:after="0"/>
        <w:rPr>
          <w:rFonts w:cs="Arial"/>
          <w:highlight w:val="yellow"/>
        </w:rPr>
      </w:pPr>
    </w:p>
    <w:p w14:paraId="73A3CAE5" w14:textId="567563D5" w:rsidR="000F78F1" w:rsidRDefault="000F78F1" w:rsidP="000F78F1">
      <w:pPr>
        <w:numPr>
          <w:ilvl w:val="0"/>
          <w:numId w:val="5"/>
        </w:numPr>
        <w:autoSpaceDE/>
        <w:autoSpaceDN/>
        <w:adjustRightInd/>
        <w:spacing w:after="0" w:line="259" w:lineRule="auto"/>
        <w:contextualSpacing/>
        <w:rPr>
          <w:rFonts w:cs="Arial"/>
          <w:b/>
          <w:u w:val="single"/>
        </w:rPr>
      </w:pPr>
      <w:bookmarkStart w:id="8" w:name="_Hlk125052006"/>
      <w:bookmarkStart w:id="9" w:name="_Hlk118901372"/>
      <w:r w:rsidRPr="000F78F1">
        <w:rPr>
          <w:rFonts w:cs="Arial"/>
          <w:b/>
          <w:u w:val="single"/>
        </w:rPr>
        <w:lastRenderedPageBreak/>
        <w:t>Adult Services and Health and Wellbeing Directorate</w:t>
      </w:r>
    </w:p>
    <w:p w14:paraId="7083CB6D" w14:textId="0B2007C4" w:rsidR="00C75BA1" w:rsidRDefault="00C75BA1" w:rsidP="00C75BA1">
      <w:pPr>
        <w:autoSpaceDE/>
        <w:autoSpaceDN/>
        <w:adjustRightInd/>
        <w:spacing w:after="0" w:line="259" w:lineRule="auto"/>
        <w:contextualSpacing/>
        <w:rPr>
          <w:rFonts w:cs="Arial"/>
          <w:b/>
          <w:u w:val="single"/>
        </w:rPr>
      </w:pPr>
    </w:p>
    <w:tbl>
      <w:tblPr>
        <w:tblW w:w="10074" w:type="dxa"/>
        <w:tblLook w:val="04A0" w:firstRow="1" w:lastRow="0" w:firstColumn="1" w:lastColumn="0" w:noHBand="0" w:noVBand="1"/>
      </w:tblPr>
      <w:tblGrid>
        <w:gridCol w:w="4248"/>
        <w:gridCol w:w="1084"/>
        <w:gridCol w:w="1084"/>
        <w:gridCol w:w="1050"/>
        <w:gridCol w:w="1451"/>
        <w:gridCol w:w="1157"/>
      </w:tblGrid>
      <w:tr w:rsidR="00F74377" w:rsidRPr="00C75BA1" w14:paraId="3087E7CB" w14:textId="77777777" w:rsidTr="009A2633">
        <w:trPr>
          <w:trHeight w:val="780"/>
        </w:trPr>
        <w:tc>
          <w:tcPr>
            <w:tcW w:w="42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65A769"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Service Area</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14:paraId="62D4574F"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xml:space="preserve">Net Budget </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14:paraId="07266EC2"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xml:space="preserve">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873C205"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Net Forecast Variance</w:t>
            </w:r>
          </w:p>
        </w:tc>
        <w:tc>
          <w:tcPr>
            <w:tcW w:w="1451" w:type="dxa"/>
            <w:tcBorders>
              <w:top w:val="single" w:sz="4" w:space="0" w:color="auto"/>
              <w:left w:val="nil"/>
              <w:bottom w:val="single" w:sz="4" w:space="0" w:color="auto"/>
              <w:right w:val="single" w:sz="4" w:space="0" w:color="auto"/>
            </w:tcBorders>
            <w:shd w:val="clear" w:color="000000" w:fill="D9D9D9"/>
            <w:vAlign w:val="center"/>
            <w:hideMark/>
          </w:tcPr>
          <w:p w14:paraId="3BE726D6"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Net Forecast Variance</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14:paraId="2DC9C499"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Q2 Variance</w:t>
            </w:r>
          </w:p>
        </w:tc>
      </w:tr>
      <w:tr w:rsidR="00F74377" w:rsidRPr="00C75BA1" w14:paraId="69EC712C" w14:textId="77777777" w:rsidTr="009A2633">
        <w:trPr>
          <w:trHeight w:val="306"/>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68D411CA"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w:t>
            </w:r>
          </w:p>
        </w:tc>
        <w:tc>
          <w:tcPr>
            <w:tcW w:w="1084" w:type="dxa"/>
            <w:tcBorders>
              <w:top w:val="nil"/>
              <w:left w:val="nil"/>
              <w:bottom w:val="nil"/>
              <w:right w:val="single" w:sz="4" w:space="0" w:color="auto"/>
            </w:tcBorders>
            <w:shd w:val="clear" w:color="000000" w:fill="D9D9D9"/>
            <w:vAlign w:val="center"/>
            <w:hideMark/>
          </w:tcPr>
          <w:p w14:paraId="2ABB5152"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1084" w:type="dxa"/>
            <w:tcBorders>
              <w:top w:val="nil"/>
              <w:left w:val="nil"/>
              <w:bottom w:val="nil"/>
              <w:right w:val="single" w:sz="4" w:space="0" w:color="auto"/>
            </w:tcBorders>
            <w:shd w:val="clear" w:color="000000" w:fill="D9D9D9"/>
            <w:vAlign w:val="center"/>
            <w:hideMark/>
          </w:tcPr>
          <w:p w14:paraId="6F2B6F95"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1050" w:type="dxa"/>
            <w:tcBorders>
              <w:top w:val="nil"/>
              <w:left w:val="nil"/>
              <w:bottom w:val="nil"/>
              <w:right w:val="single" w:sz="4" w:space="0" w:color="auto"/>
            </w:tcBorders>
            <w:shd w:val="clear" w:color="000000" w:fill="D9D9D9"/>
            <w:vAlign w:val="center"/>
            <w:hideMark/>
          </w:tcPr>
          <w:p w14:paraId="70649B31"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1451" w:type="dxa"/>
            <w:tcBorders>
              <w:top w:val="nil"/>
              <w:left w:val="nil"/>
              <w:bottom w:val="nil"/>
              <w:right w:val="single" w:sz="4" w:space="0" w:color="auto"/>
            </w:tcBorders>
            <w:shd w:val="clear" w:color="000000" w:fill="D9D9D9"/>
            <w:vAlign w:val="center"/>
            <w:hideMark/>
          </w:tcPr>
          <w:p w14:paraId="5EA28E93"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w:t>
            </w:r>
          </w:p>
        </w:tc>
        <w:tc>
          <w:tcPr>
            <w:tcW w:w="1157" w:type="dxa"/>
            <w:tcBorders>
              <w:top w:val="nil"/>
              <w:left w:val="nil"/>
              <w:bottom w:val="nil"/>
              <w:right w:val="single" w:sz="4" w:space="0" w:color="auto"/>
            </w:tcBorders>
            <w:shd w:val="clear" w:color="000000" w:fill="D9D9D9"/>
            <w:vAlign w:val="center"/>
            <w:hideMark/>
          </w:tcPr>
          <w:p w14:paraId="1D448D46" w14:textId="77777777" w:rsidR="00C75BA1" w:rsidRPr="00C75BA1" w:rsidRDefault="00C75BA1" w:rsidP="00C75BA1">
            <w:pPr>
              <w:autoSpaceDE/>
              <w:autoSpaceDN/>
              <w:adjustRightInd/>
              <w:spacing w:after="0"/>
              <w:jc w:val="center"/>
              <w:rPr>
                <w:rFonts w:eastAsia="Times New Roman" w:cs="Arial"/>
                <w:b/>
                <w:bCs/>
                <w:color w:val="auto"/>
                <w:sz w:val="20"/>
                <w:szCs w:val="20"/>
                <w:lang w:eastAsia="en-GB"/>
              </w:rPr>
            </w:pPr>
            <w:r w:rsidRPr="00C75BA1">
              <w:rPr>
                <w:rFonts w:eastAsia="Times New Roman" w:cs="Arial"/>
                <w:b/>
                <w:bCs/>
                <w:color w:val="auto"/>
                <w:sz w:val="20"/>
                <w:szCs w:val="20"/>
                <w:lang w:eastAsia="en-GB"/>
              </w:rPr>
              <w:t>£m</w:t>
            </w:r>
          </w:p>
        </w:tc>
      </w:tr>
      <w:tr w:rsidR="00F74377" w:rsidRPr="00C75BA1" w14:paraId="0BF3FAFB" w14:textId="77777777" w:rsidTr="009A2633">
        <w:trPr>
          <w:trHeight w:val="306"/>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2EBE8E69"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Disability (Adults)</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5F6A1B6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2.946</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4AAF0C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4.792</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2CE4B7E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1.846</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5D6FBAB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62.66%</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14:paraId="225AAEE3"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2.468</w:t>
            </w:r>
          </w:p>
        </w:tc>
      </w:tr>
      <w:tr w:rsidR="00C75BA1" w:rsidRPr="00C75BA1" w14:paraId="38203A34" w14:textId="77777777" w:rsidTr="009A2633">
        <w:trPr>
          <w:trHeight w:val="306"/>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29F031B9"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Residential &amp; Day Care Services for Older People</w:t>
            </w:r>
          </w:p>
        </w:tc>
        <w:tc>
          <w:tcPr>
            <w:tcW w:w="1084" w:type="dxa"/>
            <w:tcBorders>
              <w:top w:val="nil"/>
              <w:left w:val="nil"/>
              <w:bottom w:val="single" w:sz="4" w:space="0" w:color="auto"/>
              <w:right w:val="single" w:sz="4" w:space="0" w:color="auto"/>
            </w:tcBorders>
            <w:shd w:val="clear" w:color="auto" w:fill="auto"/>
            <w:vAlign w:val="center"/>
            <w:hideMark/>
          </w:tcPr>
          <w:p w14:paraId="7EB0451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1.438</w:t>
            </w:r>
          </w:p>
        </w:tc>
        <w:tc>
          <w:tcPr>
            <w:tcW w:w="1084" w:type="dxa"/>
            <w:tcBorders>
              <w:top w:val="nil"/>
              <w:left w:val="nil"/>
              <w:bottom w:val="single" w:sz="4" w:space="0" w:color="auto"/>
              <w:right w:val="single" w:sz="4" w:space="0" w:color="auto"/>
            </w:tcBorders>
            <w:shd w:val="clear" w:color="auto" w:fill="auto"/>
            <w:vAlign w:val="center"/>
            <w:hideMark/>
          </w:tcPr>
          <w:p w14:paraId="4B56AC9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3.219</w:t>
            </w:r>
          </w:p>
        </w:tc>
        <w:tc>
          <w:tcPr>
            <w:tcW w:w="1050" w:type="dxa"/>
            <w:tcBorders>
              <w:top w:val="nil"/>
              <w:left w:val="nil"/>
              <w:bottom w:val="single" w:sz="4" w:space="0" w:color="auto"/>
              <w:right w:val="single" w:sz="4" w:space="0" w:color="auto"/>
            </w:tcBorders>
            <w:shd w:val="clear" w:color="000000" w:fill="D9D9D9"/>
            <w:vAlign w:val="center"/>
            <w:hideMark/>
          </w:tcPr>
          <w:p w14:paraId="5727E9C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1.781</w:t>
            </w:r>
          </w:p>
        </w:tc>
        <w:tc>
          <w:tcPr>
            <w:tcW w:w="1451" w:type="dxa"/>
            <w:tcBorders>
              <w:top w:val="nil"/>
              <w:left w:val="nil"/>
              <w:bottom w:val="single" w:sz="4" w:space="0" w:color="auto"/>
              <w:right w:val="single" w:sz="4" w:space="0" w:color="auto"/>
            </w:tcBorders>
            <w:shd w:val="clear" w:color="auto" w:fill="auto"/>
            <w:vAlign w:val="center"/>
            <w:hideMark/>
          </w:tcPr>
          <w:p w14:paraId="3141729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123.84%</w:t>
            </w:r>
          </w:p>
        </w:tc>
        <w:tc>
          <w:tcPr>
            <w:tcW w:w="1157" w:type="dxa"/>
            <w:tcBorders>
              <w:top w:val="nil"/>
              <w:left w:val="nil"/>
              <w:bottom w:val="single" w:sz="4" w:space="0" w:color="auto"/>
              <w:right w:val="single" w:sz="4" w:space="0" w:color="auto"/>
            </w:tcBorders>
            <w:shd w:val="clear" w:color="000000" w:fill="D9D9D9"/>
            <w:vAlign w:val="center"/>
            <w:hideMark/>
          </w:tcPr>
          <w:p w14:paraId="36D58370"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3.734</w:t>
            </w:r>
          </w:p>
        </w:tc>
      </w:tr>
      <w:tr w:rsidR="00F74377" w:rsidRPr="00C75BA1" w14:paraId="6C62A2C9" w14:textId="77777777" w:rsidTr="009A2633">
        <w:trPr>
          <w:trHeight w:val="321"/>
        </w:trPr>
        <w:tc>
          <w:tcPr>
            <w:tcW w:w="4248" w:type="dxa"/>
            <w:tcBorders>
              <w:top w:val="nil"/>
              <w:left w:val="single" w:sz="8" w:space="0" w:color="auto"/>
              <w:bottom w:val="single" w:sz="8" w:space="0" w:color="auto"/>
              <w:right w:val="single" w:sz="4" w:space="0" w:color="auto"/>
            </w:tcBorders>
            <w:shd w:val="clear" w:color="000000" w:fill="D9D9D9"/>
            <w:vAlign w:val="center"/>
            <w:hideMark/>
          </w:tcPr>
          <w:p w14:paraId="4765A08D" w14:textId="7C5D4A84"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 xml:space="preserve">Total Adult Care </w:t>
            </w:r>
            <w:r>
              <w:rPr>
                <w:rFonts w:eastAsia="Times New Roman" w:cs="Arial"/>
                <w:b/>
                <w:bCs/>
                <w:sz w:val="20"/>
                <w:szCs w:val="20"/>
                <w:lang w:eastAsia="en-GB"/>
              </w:rPr>
              <w:t>a</w:t>
            </w:r>
            <w:r w:rsidRPr="00C75BA1">
              <w:rPr>
                <w:rFonts w:eastAsia="Times New Roman" w:cs="Arial"/>
                <w:b/>
                <w:bCs/>
                <w:sz w:val="20"/>
                <w:szCs w:val="20"/>
                <w:lang w:eastAsia="en-GB"/>
              </w:rPr>
              <w:t>nd Provider Services</w:t>
            </w:r>
          </w:p>
        </w:tc>
        <w:tc>
          <w:tcPr>
            <w:tcW w:w="1084" w:type="dxa"/>
            <w:tcBorders>
              <w:top w:val="nil"/>
              <w:left w:val="nil"/>
              <w:bottom w:val="single" w:sz="8" w:space="0" w:color="auto"/>
              <w:right w:val="single" w:sz="4" w:space="0" w:color="auto"/>
            </w:tcBorders>
            <w:shd w:val="clear" w:color="000000" w:fill="D9D9D9"/>
            <w:vAlign w:val="center"/>
            <w:hideMark/>
          </w:tcPr>
          <w:p w14:paraId="20CD1BE3"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4.384</w:t>
            </w:r>
          </w:p>
        </w:tc>
        <w:tc>
          <w:tcPr>
            <w:tcW w:w="1084" w:type="dxa"/>
            <w:tcBorders>
              <w:top w:val="nil"/>
              <w:left w:val="nil"/>
              <w:bottom w:val="single" w:sz="8" w:space="0" w:color="auto"/>
              <w:right w:val="single" w:sz="4" w:space="0" w:color="auto"/>
            </w:tcBorders>
            <w:shd w:val="clear" w:color="000000" w:fill="D9D9D9"/>
            <w:vAlign w:val="center"/>
            <w:hideMark/>
          </w:tcPr>
          <w:p w14:paraId="77B3A50F"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8.011</w:t>
            </w:r>
          </w:p>
        </w:tc>
        <w:tc>
          <w:tcPr>
            <w:tcW w:w="1050" w:type="dxa"/>
            <w:tcBorders>
              <w:top w:val="nil"/>
              <w:left w:val="nil"/>
              <w:bottom w:val="single" w:sz="8" w:space="0" w:color="auto"/>
              <w:right w:val="single" w:sz="4" w:space="0" w:color="auto"/>
            </w:tcBorders>
            <w:shd w:val="clear" w:color="000000" w:fill="D9D9D9"/>
            <w:vAlign w:val="center"/>
            <w:hideMark/>
          </w:tcPr>
          <w:p w14:paraId="41D0293C"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3.627</w:t>
            </w:r>
          </w:p>
        </w:tc>
        <w:tc>
          <w:tcPr>
            <w:tcW w:w="1451" w:type="dxa"/>
            <w:tcBorders>
              <w:top w:val="nil"/>
              <w:left w:val="nil"/>
              <w:bottom w:val="single" w:sz="8" w:space="0" w:color="auto"/>
              <w:right w:val="single" w:sz="4" w:space="0" w:color="auto"/>
            </w:tcBorders>
            <w:shd w:val="clear" w:color="000000" w:fill="D9D9D9"/>
            <w:vAlign w:val="center"/>
            <w:hideMark/>
          </w:tcPr>
          <w:p w14:paraId="69CAB524"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82.73%</w:t>
            </w:r>
          </w:p>
        </w:tc>
        <w:tc>
          <w:tcPr>
            <w:tcW w:w="1157" w:type="dxa"/>
            <w:tcBorders>
              <w:top w:val="nil"/>
              <w:left w:val="nil"/>
              <w:bottom w:val="single" w:sz="8" w:space="0" w:color="auto"/>
              <w:right w:val="single" w:sz="4" w:space="0" w:color="auto"/>
            </w:tcBorders>
            <w:shd w:val="clear" w:color="000000" w:fill="D9D9D9"/>
            <w:vAlign w:val="center"/>
            <w:hideMark/>
          </w:tcPr>
          <w:p w14:paraId="209417D2"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6.202</w:t>
            </w:r>
          </w:p>
        </w:tc>
      </w:tr>
      <w:tr w:rsidR="00C75BA1" w:rsidRPr="00C75BA1" w14:paraId="57C2D59A" w14:textId="77777777" w:rsidTr="009A2633">
        <w:trPr>
          <w:trHeight w:val="321"/>
        </w:trPr>
        <w:tc>
          <w:tcPr>
            <w:tcW w:w="4248" w:type="dxa"/>
            <w:tcBorders>
              <w:top w:val="nil"/>
              <w:left w:val="single" w:sz="8" w:space="0" w:color="auto"/>
              <w:bottom w:val="single" w:sz="8" w:space="0" w:color="auto"/>
              <w:right w:val="single" w:sz="4" w:space="0" w:color="auto"/>
            </w:tcBorders>
            <w:shd w:val="clear" w:color="auto" w:fill="auto"/>
            <w:vAlign w:val="center"/>
          </w:tcPr>
          <w:p w14:paraId="507AA790" w14:textId="77777777" w:rsidR="00C75BA1" w:rsidRPr="00C75BA1" w:rsidRDefault="00C75BA1" w:rsidP="00C75BA1">
            <w:pPr>
              <w:autoSpaceDE/>
              <w:autoSpaceDN/>
              <w:adjustRightInd/>
              <w:spacing w:after="0"/>
              <w:jc w:val="left"/>
              <w:rPr>
                <w:rFonts w:eastAsia="Times New Roman" w:cs="Arial"/>
                <w:b/>
                <w:bCs/>
                <w:sz w:val="20"/>
                <w:szCs w:val="20"/>
                <w:lang w:eastAsia="en-GB"/>
              </w:rPr>
            </w:pPr>
          </w:p>
        </w:tc>
        <w:tc>
          <w:tcPr>
            <w:tcW w:w="1084" w:type="dxa"/>
            <w:tcBorders>
              <w:top w:val="nil"/>
              <w:left w:val="nil"/>
              <w:bottom w:val="single" w:sz="8" w:space="0" w:color="auto"/>
              <w:right w:val="single" w:sz="4" w:space="0" w:color="auto"/>
            </w:tcBorders>
            <w:shd w:val="clear" w:color="auto" w:fill="auto"/>
            <w:vAlign w:val="center"/>
          </w:tcPr>
          <w:p w14:paraId="0C7B2585"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84" w:type="dxa"/>
            <w:tcBorders>
              <w:top w:val="nil"/>
              <w:left w:val="nil"/>
              <w:bottom w:val="single" w:sz="8" w:space="0" w:color="auto"/>
              <w:right w:val="single" w:sz="4" w:space="0" w:color="auto"/>
            </w:tcBorders>
            <w:shd w:val="clear" w:color="auto" w:fill="auto"/>
            <w:vAlign w:val="center"/>
          </w:tcPr>
          <w:p w14:paraId="6B5B0980"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1E885775"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451" w:type="dxa"/>
            <w:tcBorders>
              <w:top w:val="nil"/>
              <w:left w:val="nil"/>
              <w:bottom w:val="single" w:sz="8" w:space="0" w:color="auto"/>
              <w:right w:val="single" w:sz="4" w:space="0" w:color="auto"/>
            </w:tcBorders>
            <w:shd w:val="clear" w:color="auto" w:fill="auto"/>
            <w:vAlign w:val="center"/>
          </w:tcPr>
          <w:p w14:paraId="6F8FE2F7"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157" w:type="dxa"/>
            <w:tcBorders>
              <w:top w:val="nil"/>
              <w:left w:val="nil"/>
              <w:bottom w:val="single" w:sz="8" w:space="0" w:color="auto"/>
              <w:right w:val="single" w:sz="4" w:space="0" w:color="auto"/>
            </w:tcBorders>
            <w:shd w:val="clear" w:color="auto" w:fill="auto"/>
            <w:vAlign w:val="center"/>
          </w:tcPr>
          <w:p w14:paraId="7E031829"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r>
      <w:tr w:rsidR="00C75BA1" w:rsidRPr="00C75BA1" w14:paraId="036B76CE" w14:textId="77777777" w:rsidTr="009A2633">
        <w:trPr>
          <w:trHeight w:val="306"/>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470A5E83"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Social Care Services (Adults)</w:t>
            </w:r>
          </w:p>
        </w:tc>
        <w:tc>
          <w:tcPr>
            <w:tcW w:w="1084" w:type="dxa"/>
            <w:tcBorders>
              <w:top w:val="nil"/>
              <w:left w:val="nil"/>
              <w:bottom w:val="single" w:sz="4" w:space="0" w:color="auto"/>
              <w:right w:val="single" w:sz="4" w:space="0" w:color="auto"/>
            </w:tcBorders>
            <w:shd w:val="clear" w:color="auto" w:fill="auto"/>
            <w:vAlign w:val="center"/>
            <w:hideMark/>
          </w:tcPr>
          <w:p w14:paraId="73D8B00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218.314</w:t>
            </w:r>
          </w:p>
        </w:tc>
        <w:tc>
          <w:tcPr>
            <w:tcW w:w="1084" w:type="dxa"/>
            <w:tcBorders>
              <w:top w:val="nil"/>
              <w:left w:val="nil"/>
              <w:bottom w:val="single" w:sz="4" w:space="0" w:color="auto"/>
              <w:right w:val="single" w:sz="4" w:space="0" w:color="auto"/>
            </w:tcBorders>
            <w:shd w:val="clear" w:color="auto" w:fill="auto"/>
            <w:vAlign w:val="center"/>
            <w:hideMark/>
          </w:tcPr>
          <w:p w14:paraId="5AE6516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212.473</w:t>
            </w:r>
          </w:p>
        </w:tc>
        <w:tc>
          <w:tcPr>
            <w:tcW w:w="1050" w:type="dxa"/>
            <w:tcBorders>
              <w:top w:val="nil"/>
              <w:left w:val="nil"/>
              <w:bottom w:val="single" w:sz="4" w:space="0" w:color="auto"/>
              <w:right w:val="single" w:sz="4" w:space="0" w:color="auto"/>
            </w:tcBorders>
            <w:shd w:val="clear" w:color="000000" w:fill="D9D9D9"/>
            <w:vAlign w:val="center"/>
            <w:hideMark/>
          </w:tcPr>
          <w:p w14:paraId="50CE2AF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-5.841</w:t>
            </w:r>
          </w:p>
        </w:tc>
        <w:tc>
          <w:tcPr>
            <w:tcW w:w="1451" w:type="dxa"/>
            <w:tcBorders>
              <w:top w:val="nil"/>
              <w:left w:val="nil"/>
              <w:bottom w:val="single" w:sz="4" w:space="0" w:color="auto"/>
              <w:right w:val="single" w:sz="4" w:space="0" w:color="auto"/>
            </w:tcBorders>
            <w:shd w:val="clear" w:color="auto" w:fill="auto"/>
            <w:vAlign w:val="center"/>
            <w:hideMark/>
          </w:tcPr>
          <w:p w14:paraId="10544A2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-2.68%</w:t>
            </w:r>
          </w:p>
        </w:tc>
        <w:tc>
          <w:tcPr>
            <w:tcW w:w="1157" w:type="dxa"/>
            <w:tcBorders>
              <w:top w:val="nil"/>
              <w:left w:val="nil"/>
              <w:bottom w:val="single" w:sz="4" w:space="0" w:color="auto"/>
              <w:right w:val="single" w:sz="4" w:space="0" w:color="auto"/>
            </w:tcBorders>
            <w:shd w:val="clear" w:color="000000" w:fill="D9D9D9"/>
            <w:vAlign w:val="center"/>
            <w:hideMark/>
          </w:tcPr>
          <w:p w14:paraId="0CADD25A"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-3.268</w:t>
            </w:r>
          </w:p>
        </w:tc>
      </w:tr>
      <w:tr w:rsidR="00C75BA1" w:rsidRPr="00C75BA1" w14:paraId="4005717F" w14:textId="77777777" w:rsidTr="009A2633">
        <w:trPr>
          <w:trHeight w:val="306"/>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4CB9617A"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Learning Disabilities, Autism &amp; Mental Health</w:t>
            </w:r>
          </w:p>
        </w:tc>
        <w:tc>
          <w:tcPr>
            <w:tcW w:w="1084" w:type="dxa"/>
            <w:tcBorders>
              <w:top w:val="nil"/>
              <w:left w:val="nil"/>
              <w:bottom w:val="single" w:sz="4" w:space="0" w:color="auto"/>
              <w:right w:val="single" w:sz="4" w:space="0" w:color="auto"/>
            </w:tcBorders>
            <w:shd w:val="clear" w:color="auto" w:fill="auto"/>
            <w:vAlign w:val="center"/>
            <w:hideMark/>
          </w:tcPr>
          <w:p w14:paraId="7EDD585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193.052</w:t>
            </w:r>
          </w:p>
        </w:tc>
        <w:tc>
          <w:tcPr>
            <w:tcW w:w="1084" w:type="dxa"/>
            <w:tcBorders>
              <w:top w:val="nil"/>
              <w:left w:val="nil"/>
              <w:bottom w:val="single" w:sz="4" w:space="0" w:color="auto"/>
              <w:right w:val="single" w:sz="4" w:space="0" w:color="auto"/>
            </w:tcBorders>
            <w:shd w:val="clear" w:color="auto" w:fill="auto"/>
            <w:vAlign w:val="center"/>
            <w:hideMark/>
          </w:tcPr>
          <w:p w14:paraId="0C92E55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187.838</w:t>
            </w:r>
          </w:p>
        </w:tc>
        <w:tc>
          <w:tcPr>
            <w:tcW w:w="1050" w:type="dxa"/>
            <w:tcBorders>
              <w:top w:val="nil"/>
              <w:left w:val="nil"/>
              <w:bottom w:val="single" w:sz="4" w:space="0" w:color="auto"/>
              <w:right w:val="single" w:sz="4" w:space="0" w:color="auto"/>
            </w:tcBorders>
            <w:shd w:val="clear" w:color="000000" w:fill="D9D9D9"/>
            <w:vAlign w:val="center"/>
            <w:hideMark/>
          </w:tcPr>
          <w:p w14:paraId="7A74E51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-5.215</w:t>
            </w:r>
          </w:p>
        </w:tc>
        <w:tc>
          <w:tcPr>
            <w:tcW w:w="1451" w:type="dxa"/>
            <w:tcBorders>
              <w:top w:val="nil"/>
              <w:left w:val="nil"/>
              <w:bottom w:val="single" w:sz="4" w:space="0" w:color="auto"/>
              <w:right w:val="single" w:sz="4" w:space="0" w:color="auto"/>
            </w:tcBorders>
            <w:shd w:val="clear" w:color="auto" w:fill="auto"/>
            <w:vAlign w:val="center"/>
            <w:hideMark/>
          </w:tcPr>
          <w:p w14:paraId="71857CD1"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-2.70%</w:t>
            </w:r>
          </w:p>
        </w:tc>
        <w:tc>
          <w:tcPr>
            <w:tcW w:w="1157" w:type="dxa"/>
            <w:tcBorders>
              <w:top w:val="nil"/>
              <w:left w:val="nil"/>
              <w:bottom w:val="single" w:sz="4" w:space="0" w:color="auto"/>
              <w:right w:val="single" w:sz="4" w:space="0" w:color="auto"/>
            </w:tcBorders>
            <w:shd w:val="clear" w:color="000000" w:fill="D9D9D9"/>
            <w:vAlign w:val="center"/>
            <w:hideMark/>
          </w:tcPr>
          <w:p w14:paraId="291259A2"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-5.989</w:t>
            </w:r>
          </w:p>
        </w:tc>
      </w:tr>
      <w:tr w:rsidR="00F74377" w:rsidRPr="00C75BA1" w14:paraId="7E0D0A1E" w14:textId="77777777" w:rsidTr="009A2633">
        <w:trPr>
          <w:trHeight w:val="321"/>
        </w:trPr>
        <w:tc>
          <w:tcPr>
            <w:tcW w:w="4248" w:type="dxa"/>
            <w:tcBorders>
              <w:top w:val="nil"/>
              <w:left w:val="single" w:sz="8" w:space="0" w:color="auto"/>
              <w:bottom w:val="single" w:sz="8" w:space="0" w:color="auto"/>
              <w:right w:val="single" w:sz="4" w:space="0" w:color="auto"/>
            </w:tcBorders>
            <w:shd w:val="clear" w:color="000000" w:fill="D9D9D9"/>
            <w:vAlign w:val="center"/>
            <w:hideMark/>
          </w:tcPr>
          <w:p w14:paraId="2BDFE037"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Adult Community Social Care</w:t>
            </w:r>
          </w:p>
        </w:tc>
        <w:tc>
          <w:tcPr>
            <w:tcW w:w="1084" w:type="dxa"/>
            <w:tcBorders>
              <w:top w:val="nil"/>
              <w:left w:val="nil"/>
              <w:bottom w:val="single" w:sz="8" w:space="0" w:color="auto"/>
              <w:right w:val="single" w:sz="4" w:space="0" w:color="auto"/>
            </w:tcBorders>
            <w:shd w:val="clear" w:color="000000" w:fill="D9D9D9"/>
            <w:vAlign w:val="center"/>
            <w:hideMark/>
          </w:tcPr>
          <w:p w14:paraId="46A977F8"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411.367</w:t>
            </w:r>
          </w:p>
        </w:tc>
        <w:tc>
          <w:tcPr>
            <w:tcW w:w="1084" w:type="dxa"/>
            <w:tcBorders>
              <w:top w:val="nil"/>
              <w:left w:val="nil"/>
              <w:bottom w:val="single" w:sz="8" w:space="0" w:color="auto"/>
              <w:right w:val="single" w:sz="4" w:space="0" w:color="auto"/>
            </w:tcBorders>
            <w:shd w:val="clear" w:color="000000" w:fill="D9D9D9"/>
            <w:vAlign w:val="center"/>
            <w:hideMark/>
          </w:tcPr>
          <w:p w14:paraId="6E6C44B3"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400.311</w:t>
            </w:r>
          </w:p>
        </w:tc>
        <w:tc>
          <w:tcPr>
            <w:tcW w:w="1050" w:type="dxa"/>
            <w:tcBorders>
              <w:top w:val="nil"/>
              <w:left w:val="nil"/>
              <w:bottom w:val="single" w:sz="8" w:space="0" w:color="auto"/>
              <w:right w:val="single" w:sz="4" w:space="0" w:color="auto"/>
            </w:tcBorders>
            <w:shd w:val="clear" w:color="000000" w:fill="D9D9D9"/>
            <w:vAlign w:val="center"/>
            <w:hideMark/>
          </w:tcPr>
          <w:p w14:paraId="4A947E8A"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-11.056</w:t>
            </w:r>
          </w:p>
        </w:tc>
        <w:tc>
          <w:tcPr>
            <w:tcW w:w="1451" w:type="dxa"/>
            <w:tcBorders>
              <w:top w:val="nil"/>
              <w:left w:val="nil"/>
              <w:bottom w:val="single" w:sz="8" w:space="0" w:color="auto"/>
              <w:right w:val="single" w:sz="4" w:space="0" w:color="auto"/>
            </w:tcBorders>
            <w:shd w:val="clear" w:color="000000" w:fill="D9D9D9"/>
            <w:vAlign w:val="center"/>
            <w:hideMark/>
          </w:tcPr>
          <w:p w14:paraId="3DC7432F"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-2.69%</w:t>
            </w:r>
          </w:p>
        </w:tc>
        <w:tc>
          <w:tcPr>
            <w:tcW w:w="1157" w:type="dxa"/>
            <w:tcBorders>
              <w:top w:val="nil"/>
              <w:left w:val="nil"/>
              <w:bottom w:val="single" w:sz="8" w:space="0" w:color="auto"/>
              <w:right w:val="single" w:sz="4" w:space="0" w:color="auto"/>
            </w:tcBorders>
            <w:shd w:val="clear" w:color="000000" w:fill="D9D9D9"/>
            <w:vAlign w:val="center"/>
            <w:hideMark/>
          </w:tcPr>
          <w:p w14:paraId="20692DC1"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-9.258</w:t>
            </w:r>
          </w:p>
        </w:tc>
      </w:tr>
      <w:tr w:rsidR="00C75BA1" w:rsidRPr="00C75BA1" w14:paraId="3E4D0A82" w14:textId="77777777" w:rsidTr="009A2633">
        <w:trPr>
          <w:trHeight w:val="306"/>
        </w:trPr>
        <w:tc>
          <w:tcPr>
            <w:tcW w:w="4248" w:type="dxa"/>
            <w:tcBorders>
              <w:top w:val="single" w:sz="4" w:space="0" w:color="auto"/>
              <w:left w:val="single" w:sz="8" w:space="0" w:color="auto"/>
              <w:bottom w:val="single" w:sz="4" w:space="0" w:color="auto"/>
              <w:right w:val="single" w:sz="4" w:space="0" w:color="auto"/>
            </w:tcBorders>
            <w:shd w:val="clear" w:color="auto" w:fill="auto"/>
            <w:vAlign w:val="center"/>
          </w:tcPr>
          <w:p w14:paraId="3E93A3AA" w14:textId="77777777" w:rsidR="00C75BA1" w:rsidRPr="00C75BA1" w:rsidRDefault="00C75BA1" w:rsidP="00C75BA1">
            <w:pPr>
              <w:autoSpaceDE/>
              <w:autoSpaceDN/>
              <w:adjustRightInd/>
              <w:spacing w:after="0"/>
              <w:jc w:val="left"/>
              <w:rPr>
                <w:rFonts w:eastAsia="Times New Roman" w:cs="Arial"/>
                <w:sz w:val="20"/>
                <w:szCs w:val="20"/>
                <w:lang w:eastAsia="en-GB"/>
              </w:rPr>
            </w:pPr>
          </w:p>
        </w:tc>
        <w:tc>
          <w:tcPr>
            <w:tcW w:w="1084" w:type="dxa"/>
            <w:tcBorders>
              <w:top w:val="single" w:sz="4" w:space="0" w:color="auto"/>
              <w:left w:val="nil"/>
              <w:bottom w:val="single" w:sz="4" w:space="0" w:color="auto"/>
              <w:right w:val="single" w:sz="4" w:space="0" w:color="auto"/>
            </w:tcBorders>
            <w:shd w:val="clear" w:color="auto" w:fill="auto"/>
            <w:vAlign w:val="center"/>
          </w:tcPr>
          <w:p w14:paraId="40FA77B8" w14:textId="77777777" w:rsidR="00C75BA1" w:rsidRPr="00C75BA1" w:rsidRDefault="00C75BA1" w:rsidP="00C75BA1">
            <w:pPr>
              <w:autoSpaceDE/>
              <w:autoSpaceDN/>
              <w:adjustRightInd/>
              <w:spacing w:after="0"/>
              <w:jc w:val="right"/>
              <w:rPr>
                <w:rFonts w:eastAsia="Times New Roman" w:cs="Arial"/>
                <w:sz w:val="20"/>
                <w:szCs w:val="20"/>
                <w:lang w:eastAsia="en-GB"/>
              </w:rPr>
            </w:pPr>
          </w:p>
        </w:tc>
        <w:tc>
          <w:tcPr>
            <w:tcW w:w="1084" w:type="dxa"/>
            <w:tcBorders>
              <w:top w:val="single" w:sz="4" w:space="0" w:color="auto"/>
              <w:left w:val="nil"/>
              <w:bottom w:val="single" w:sz="4" w:space="0" w:color="auto"/>
              <w:right w:val="single" w:sz="4" w:space="0" w:color="auto"/>
            </w:tcBorders>
            <w:shd w:val="clear" w:color="auto" w:fill="auto"/>
            <w:vAlign w:val="center"/>
          </w:tcPr>
          <w:p w14:paraId="63CF98D8" w14:textId="77777777" w:rsidR="00C75BA1" w:rsidRPr="00C75BA1" w:rsidRDefault="00C75BA1" w:rsidP="00C75BA1">
            <w:pPr>
              <w:autoSpaceDE/>
              <w:autoSpaceDN/>
              <w:adjustRightInd/>
              <w:spacing w:after="0"/>
              <w:jc w:val="right"/>
              <w:rPr>
                <w:rFonts w:eastAsia="Times New Roman" w:cs="Arial"/>
                <w:sz w:val="20"/>
                <w:szCs w:val="20"/>
                <w:lang w:eastAsia="en-GB"/>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E278FDB" w14:textId="77777777" w:rsidR="00C75BA1" w:rsidRPr="00C75BA1" w:rsidRDefault="00C75BA1" w:rsidP="00C75BA1">
            <w:pPr>
              <w:autoSpaceDE/>
              <w:autoSpaceDN/>
              <w:adjustRightInd/>
              <w:spacing w:after="0"/>
              <w:jc w:val="right"/>
              <w:rPr>
                <w:rFonts w:eastAsia="Times New Roman" w:cs="Arial"/>
                <w:sz w:val="20"/>
                <w:szCs w:val="20"/>
                <w:lang w:eastAsia="en-GB"/>
              </w:rPr>
            </w:pPr>
          </w:p>
        </w:tc>
        <w:tc>
          <w:tcPr>
            <w:tcW w:w="1451" w:type="dxa"/>
            <w:tcBorders>
              <w:top w:val="single" w:sz="4" w:space="0" w:color="auto"/>
              <w:left w:val="nil"/>
              <w:bottom w:val="single" w:sz="4" w:space="0" w:color="auto"/>
              <w:right w:val="single" w:sz="4" w:space="0" w:color="auto"/>
            </w:tcBorders>
            <w:shd w:val="clear" w:color="auto" w:fill="auto"/>
            <w:vAlign w:val="center"/>
          </w:tcPr>
          <w:p w14:paraId="3EC681ED" w14:textId="77777777" w:rsidR="00C75BA1" w:rsidRPr="00C75BA1" w:rsidRDefault="00C75BA1" w:rsidP="00C75BA1">
            <w:pPr>
              <w:autoSpaceDE/>
              <w:autoSpaceDN/>
              <w:adjustRightInd/>
              <w:spacing w:after="0"/>
              <w:jc w:val="right"/>
              <w:rPr>
                <w:rFonts w:eastAsia="Times New Roman" w:cs="Arial"/>
                <w:sz w:val="20"/>
                <w:szCs w:val="20"/>
                <w:lang w:eastAsia="en-GB"/>
              </w:rPr>
            </w:pPr>
          </w:p>
        </w:tc>
        <w:tc>
          <w:tcPr>
            <w:tcW w:w="1157" w:type="dxa"/>
            <w:tcBorders>
              <w:top w:val="single" w:sz="4" w:space="0" w:color="auto"/>
              <w:left w:val="nil"/>
              <w:bottom w:val="single" w:sz="4" w:space="0" w:color="auto"/>
              <w:right w:val="single" w:sz="4" w:space="0" w:color="auto"/>
            </w:tcBorders>
            <w:shd w:val="clear" w:color="auto" w:fill="auto"/>
            <w:vAlign w:val="center"/>
          </w:tcPr>
          <w:p w14:paraId="607331DE"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p>
        </w:tc>
      </w:tr>
      <w:tr w:rsidR="00C75BA1" w:rsidRPr="00C75BA1" w14:paraId="36D1A4B1" w14:textId="77777777" w:rsidTr="009A2633">
        <w:trPr>
          <w:trHeight w:val="306"/>
        </w:trPr>
        <w:tc>
          <w:tcPr>
            <w:tcW w:w="424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54A2C44"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Safeguarding &amp; Quality Improvement Services</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199100D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4.653</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ADA5DF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4.619</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5654DF5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-0.034</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110824F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-0.73%</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14:paraId="007F8302"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-0.104</w:t>
            </w:r>
          </w:p>
        </w:tc>
      </w:tr>
      <w:tr w:rsidR="00C75BA1" w:rsidRPr="00C75BA1" w14:paraId="41DF0A24" w14:textId="77777777" w:rsidTr="009A2633">
        <w:trPr>
          <w:trHeight w:val="306"/>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53DBFEB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Policy Info &amp; Commission Live Well</w:t>
            </w:r>
          </w:p>
        </w:tc>
        <w:tc>
          <w:tcPr>
            <w:tcW w:w="1084" w:type="dxa"/>
            <w:tcBorders>
              <w:top w:val="nil"/>
              <w:left w:val="nil"/>
              <w:bottom w:val="single" w:sz="4" w:space="0" w:color="auto"/>
              <w:right w:val="single" w:sz="4" w:space="0" w:color="auto"/>
            </w:tcBorders>
            <w:shd w:val="clear" w:color="auto" w:fill="auto"/>
            <w:vAlign w:val="center"/>
            <w:hideMark/>
          </w:tcPr>
          <w:p w14:paraId="39C86AC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4.275</w:t>
            </w:r>
          </w:p>
        </w:tc>
        <w:tc>
          <w:tcPr>
            <w:tcW w:w="1084" w:type="dxa"/>
            <w:tcBorders>
              <w:top w:val="nil"/>
              <w:left w:val="nil"/>
              <w:bottom w:val="single" w:sz="4" w:space="0" w:color="auto"/>
              <w:right w:val="single" w:sz="4" w:space="0" w:color="auto"/>
            </w:tcBorders>
            <w:shd w:val="clear" w:color="auto" w:fill="auto"/>
            <w:vAlign w:val="center"/>
            <w:hideMark/>
          </w:tcPr>
          <w:p w14:paraId="58B5577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4.426</w:t>
            </w:r>
          </w:p>
        </w:tc>
        <w:tc>
          <w:tcPr>
            <w:tcW w:w="1050" w:type="dxa"/>
            <w:tcBorders>
              <w:top w:val="nil"/>
              <w:left w:val="nil"/>
              <w:bottom w:val="single" w:sz="4" w:space="0" w:color="auto"/>
              <w:right w:val="single" w:sz="4" w:space="0" w:color="auto"/>
            </w:tcBorders>
            <w:shd w:val="clear" w:color="000000" w:fill="D9D9D9"/>
            <w:vAlign w:val="center"/>
            <w:hideMark/>
          </w:tcPr>
          <w:p w14:paraId="3FEA58A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0.150</w:t>
            </w:r>
          </w:p>
        </w:tc>
        <w:tc>
          <w:tcPr>
            <w:tcW w:w="1451" w:type="dxa"/>
            <w:tcBorders>
              <w:top w:val="nil"/>
              <w:left w:val="nil"/>
              <w:bottom w:val="single" w:sz="4" w:space="0" w:color="auto"/>
              <w:right w:val="single" w:sz="4" w:space="0" w:color="auto"/>
            </w:tcBorders>
            <w:shd w:val="clear" w:color="auto" w:fill="auto"/>
            <w:vAlign w:val="center"/>
            <w:hideMark/>
          </w:tcPr>
          <w:p w14:paraId="1C57333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3.51%</w:t>
            </w:r>
          </w:p>
        </w:tc>
        <w:tc>
          <w:tcPr>
            <w:tcW w:w="1157" w:type="dxa"/>
            <w:tcBorders>
              <w:top w:val="nil"/>
              <w:left w:val="nil"/>
              <w:bottom w:val="single" w:sz="4" w:space="0" w:color="auto"/>
              <w:right w:val="single" w:sz="4" w:space="0" w:color="auto"/>
            </w:tcBorders>
            <w:shd w:val="clear" w:color="000000" w:fill="D9D9D9"/>
            <w:vAlign w:val="center"/>
            <w:hideMark/>
          </w:tcPr>
          <w:p w14:paraId="5854A231"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0.077</w:t>
            </w:r>
          </w:p>
        </w:tc>
      </w:tr>
      <w:tr w:rsidR="00F74377" w:rsidRPr="00C75BA1" w14:paraId="4E9A3B65" w14:textId="77777777" w:rsidTr="009A2633">
        <w:trPr>
          <w:trHeight w:val="321"/>
        </w:trPr>
        <w:tc>
          <w:tcPr>
            <w:tcW w:w="4248" w:type="dxa"/>
            <w:tcBorders>
              <w:top w:val="nil"/>
              <w:left w:val="single" w:sz="8" w:space="0" w:color="auto"/>
              <w:bottom w:val="single" w:sz="8" w:space="0" w:color="auto"/>
              <w:right w:val="single" w:sz="4" w:space="0" w:color="auto"/>
            </w:tcBorders>
            <w:shd w:val="clear" w:color="000000" w:fill="D9D9D9"/>
            <w:vAlign w:val="center"/>
            <w:hideMark/>
          </w:tcPr>
          <w:p w14:paraId="2494E6D7" w14:textId="0481A19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 xml:space="preserve">Total Safeguarding </w:t>
            </w:r>
            <w:r>
              <w:rPr>
                <w:rFonts w:eastAsia="Times New Roman" w:cs="Arial"/>
                <w:b/>
                <w:bCs/>
                <w:sz w:val="20"/>
                <w:szCs w:val="20"/>
                <w:lang w:eastAsia="en-GB"/>
              </w:rPr>
              <w:t>a</w:t>
            </w:r>
            <w:r w:rsidRPr="00C75BA1">
              <w:rPr>
                <w:rFonts w:eastAsia="Times New Roman" w:cs="Arial"/>
                <w:b/>
                <w:bCs/>
                <w:sz w:val="20"/>
                <w:szCs w:val="20"/>
                <w:lang w:eastAsia="en-GB"/>
              </w:rPr>
              <w:t>nd Quality Improvement</w:t>
            </w:r>
          </w:p>
        </w:tc>
        <w:tc>
          <w:tcPr>
            <w:tcW w:w="1084" w:type="dxa"/>
            <w:tcBorders>
              <w:top w:val="nil"/>
              <w:left w:val="nil"/>
              <w:bottom w:val="single" w:sz="8" w:space="0" w:color="auto"/>
              <w:right w:val="single" w:sz="4" w:space="0" w:color="auto"/>
            </w:tcBorders>
            <w:shd w:val="clear" w:color="000000" w:fill="D9D9D9"/>
            <w:vAlign w:val="center"/>
            <w:hideMark/>
          </w:tcPr>
          <w:p w14:paraId="7F687ED3"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8.929</w:t>
            </w:r>
          </w:p>
        </w:tc>
        <w:tc>
          <w:tcPr>
            <w:tcW w:w="1084" w:type="dxa"/>
            <w:tcBorders>
              <w:top w:val="nil"/>
              <w:left w:val="nil"/>
              <w:bottom w:val="single" w:sz="8" w:space="0" w:color="auto"/>
              <w:right w:val="single" w:sz="4" w:space="0" w:color="auto"/>
            </w:tcBorders>
            <w:shd w:val="clear" w:color="000000" w:fill="D9D9D9"/>
            <w:vAlign w:val="center"/>
            <w:hideMark/>
          </w:tcPr>
          <w:p w14:paraId="66D651BF"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9.045</w:t>
            </w:r>
          </w:p>
        </w:tc>
        <w:tc>
          <w:tcPr>
            <w:tcW w:w="1050" w:type="dxa"/>
            <w:tcBorders>
              <w:top w:val="nil"/>
              <w:left w:val="nil"/>
              <w:bottom w:val="single" w:sz="8" w:space="0" w:color="auto"/>
              <w:right w:val="single" w:sz="4" w:space="0" w:color="auto"/>
            </w:tcBorders>
            <w:shd w:val="clear" w:color="000000" w:fill="D9D9D9"/>
            <w:vAlign w:val="center"/>
            <w:hideMark/>
          </w:tcPr>
          <w:p w14:paraId="470AF835"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0.116</w:t>
            </w:r>
          </w:p>
        </w:tc>
        <w:tc>
          <w:tcPr>
            <w:tcW w:w="1451" w:type="dxa"/>
            <w:tcBorders>
              <w:top w:val="nil"/>
              <w:left w:val="nil"/>
              <w:bottom w:val="single" w:sz="8" w:space="0" w:color="auto"/>
              <w:right w:val="single" w:sz="4" w:space="0" w:color="auto"/>
            </w:tcBorders>
            <w:shd w:val="clear" w:color="000000" w:fill="D9D9D9"/>
            <w:vAlign w:val="center"/>
            <w:hideMark/>
          </w:tcPr>
          <w:p w14:paraId="0AE0F1B5"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1.30%</w:t>
            </w:r>
          </w:p>
        </w:tc>
        <w:tc>
          <w:tcPr>
            <w:tcW w:w="1157" w:type="dxa"/>
            <w:tcBorders>
              <w:top w:val="nil"/>
              <w:left w:val="nil"/>
              <w:bottom w:val="single" w:sz="8" w:space="0" w:color="auto"/>
              <w:right w:val="single" w:sz="4" w:space="0" w:color="auto"/>
            </w:tcBorders>
            <w:shd w:val="clear" w:color="000000" w:fill="D9D9D9"/>
            <w:vAlign w:val="center"/>
            <w:hideMark/>
          </w:tcPr>
          <w:p w14:paraId="72A5682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-0.027</w:t>
            </w:r>
          </w:p>
        </w:tc>
      </w:tr>
      <w:tr w:rsidR="00C75BA1" w:rsidRPr="00C75BA1" w14:paraId="34236B08" w14:textId="77777777" w:rsidTr="009A2633">
        <w:trPr>
          <w:trHeight w:val="321"/>
        </w:trPr>
        <w:tc>
          <w:tcPr>
            <w:tcW w:w="4248" w:type="dxa"/>
            <w:tcBorders>
              <w:top w:val="nil"/>
              <w:left w:val="single" w:sz="8" w:space="0" w:color="auto"/>
              <w:bottom w:val="single" w:sz="8" w:space="0" w:color="auto"/>
              <w:right w:val="single" w:sz="4" w:space="0" w:color="auto"/>
            </w:tcBorders>
            <w:shd w:val="clear" w:color="auto" w:fill="auto"/>
            <w:vAlign w:val="center"/>
          </w:tcPr>
          <w:p w14:paraId="1835B443" w14:textId="77777777" w:rsidR="00C75BA1" w:rsidRPr="00C75BA1" w:rsidRDefault="00C75BA1" w:rsidP="00C75BA1">
            <w:pPr>
              <w:autoSpaceDE/>
              <w:autoSpaceDN/>
              <w:adjustRightInd/>
              <w:spacing w:after="0"/>
              <w:jc w:val="left"/>
              <w:rPr>
                <w:rFonts w:eastAsia="Times New Roman" w:cs="Arial"/>
                <w:b/>
                <w:bCs/>
                <w:sz w:val="20"/>
                <w:szCs w:val="20"/>
                <w:lang w:eastAsia="en-GB"/>
              </w:rPr>
            </w:pPr>
          </w:p>
        </w:tc>
        <w:tc>
          <w:tcPr>
            <w:tcW w:w="1084" w:type="dxa"/>
            <w:tcBorders>
              <w:top w:val="nil"/>
              <w:left w:val="nil"/>
              <w:bottom w:val="single" w:sz="8" w:space="0" w:color="auto"/>
              <w:right w:val="single" w:sz="4" w:space="0" w:color="auto"/>
            </w:tcBorders>
            <w:shd w:val="clear" w:color="auto" w:fill="auto"/>
            <w:vAlign w:val="center"/>
          </w:tcPr>
          <w:p w14:paraId="5F512496"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84" w:type="dxa"/>
            <w:tcBorders>
              <w:top w:val="nil"/>
              <w:left w:val="nil"/>
              <w:bottom w:val="single" w:sz="8" w:space="0" w:color="auto"/>
              <w:right w:val="single" w:sz="4" w:space="0" w:color="auto"/>
            </w:tcBorders>
            <w:shd w:val="clear" w:color="auto" w:fill="auto"/>
            <w:vAlign w:val="center"/>
          </w:tcPr>
          <w:p w14:paraId="46F57BD0"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529BB4ED"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451" w:type="dxa"/>
            <w:tcBorders>
              <w:top w:val="nil"/>
              <w:left w:val="nil"/>
              <w:bottom w:val="single" w:sz="8" w:space="0" w:color="auto"/>
              <w:right w:val="single" w:sz="4" w:space="0" w:color="auto"/>
            </w:tcBorders>
            <w:shd w:val="clear" w:color="auto" w:fill="auto"/>
            <w:vAlign w:val="center"/>
          </w:tcPr>
          <w:p w14:paraId="3A78C42F"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157" w:type="dxa"/>
            <w:tcBorders>
              <w:top w:val="nil"/>
              <w:left w:val="nil"/>
              <w:bottom w:val="single" w:sz="8" w:space="0" w:color="auto"/>
              <w:right w:val="single" w:sz="4" w:space="0" w:color="auto"/>
            </w:tcBorders>
            <w:shd w:val="clear" w:color="auto" w:fill="auto"/>
            <w:vAlign w:val="center"/>
          </w:tcPr>
          <w:p w14:paraId="460B21FB"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r>
      <w:tr w:rsidR="00F74377" w:rsidRPr="00C75BA1" w14:paraId="4138381A" w14:textId="77777777" w:rsidTr="009A2633">
        <w:trPr>
          <w:trHeight w:val="321"/>
        </w:trPr>
        <w:tc>
          <w:tcPr>
            <w:tcW w:w="4248"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0DE5829D" w14:textId="77777777" w:rsidR="00C75BA1" w:rsidRPr="00C75BA1" w:rsidRDefault="00C75BA1" w:rsidP="00C75BA1">
            <w:pPr>
              <w:autoSpaceDE/>
              <w:autoSpaceDN/>
              <w:adjustRightInd/>
              <w:spacing w:after="0"/>
              <w:jc w:val="left"/>
              <w:rPr>
                <w:rFonts w:eastAsia="Times New Roman" w:cs="Arial"/>
                <w:b/>
                <w:bCs/>
                <w:lang w:eastAsia="en-GB"/>
              </w:rPr>
            </w:pPr>
            <w:r w:rsidRPr="00C75BA1">
              <w:rPr>
                <w:rFonts w:eastAsia="Times New Roman" w:cs="Arial"/>
                <w:b/>
                <w:bCs/>
                <w:lang w:eastAsia="en-GB"/>
              </w:rPr>
              <w:t>Total Adults</w:t>
            </w:r>
          </w:p>
        </w:tc>
        <w:tc>
          <w:tcPr>
            <w:tcW w:w="1084" w:type="dxa"/>
            <w:tcBorders>
              <w:top w:val="single" w:sz="4" w:space="0" w:color="auto"/>
              <w:left w:val="nil"/>
              <w:bottom w:val="single" w:sz="8" w:space="0" w:color="auto"/>
              <w:right w:val="single" w:sz="4" w:space="0" w:color="auto"/>
            </w:tcBorders>
            <w:shd w:val="clear" w:color="000000" w:fill="D9D9D9"/>
            <w:vAlign w:val="center"/>
            <w:hideMark/>
          </w:tcPr>
          <w:p w14:paraId="38D06A3F"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424.680</w:t>
            </w:r>
          </w:p>
        </w:tc>
        <w:tc>
          <w:tcPr>
            <w:tcW w:w="1084" w:type="dxa"/>
            <w:tcBorders>
              <w:top w:val="single" w:sz="4" w:space="0" w:color="auto"/>
              <w:left w:val="nil"/>
              <w:bottom w:val="single" w:sz="8" w:space="0" w:color="auto"/>
              <w:right w:val="single" w:sz="4" w:space="0" w:color="auto"/>
            </w:tcBorders>
            <w:shd w:val="clear" w:color="000000" w:fill="D9D9D9"/>
            <w:vAlign w:val="center"/>
            <w:hideMark/>
          </w:tcPr>
          <w:p w14:paraId="2E88C8FB"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417.366</w:t>
            </w:r>
          </w:p>
        </w:tc>
        <w:tc>
          <w:tcPr>
            <w:tcW w:w="1050" w:type="dxa"/>
            <w:tcBorders>
              <w:top w:val="single" w:sz="4" w:space="0" w:color="auto"/>
              <w:left w:val="nil"/>
              <w:bottom w:val="single" w:sz="8" w:space="0" w:color="auto"/>
              <w:right w:val="single" w:sz="4" w:space="0" w:color="auto"/>
            </w:tcBorders>
            <w:shd w:val="clear" w:color="000000" w:fill="D9D9D9"/>
            <w:vAlign w:val="center"/>
            <w:hideMark/>
          </w:tcPr>
          <w:p w14:paraId="509313B5"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-7.313</w:t>
            </w:r>
          </w:p>
        </w:tc>
        <w:tc>
          <w:tcPr>
            <w:tcW w:w="1451" w:type="dxa"/>
            <w:tcBorders>
              <w:top w:val="single" w:sz="4" w:space="0" w:color="auto"/>
              <w:left w:val="nil"/>
              <w:bottom w:val="single" w:sz="8" w:space="0" w:color="auto"/>
              <w:right w:val="single" w:sz="4" w:space="0" w:color="auto"/>
            </w:tcBorders>
            <w:shd w:val="clear" w:color="000000" w:fill="D9D9D9"/>
            <w:vAlign w:val="center"/>
            <w:hideMark/>
          </w:tcPr>
          <w:p w14:paraId="3567EE61"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-1.72%</w:t>
            </w:r>
          </w:p>
        </w:tc>
        <w:tc>
          <w:tcPr>
            <w:tcW w:w="1157" w:type="dxa"/>
            <w:tcBorders>
              <w:top w:val="single" w:sz="4" w:space="0" w:color="auto"/>
              <w:left w:val="nil"/>
              <w:bottom w:val="single" w:sz="8" w:space="0" w:color="auto"/>
              <w:right w:val="single" w:sz="4" w:space="0" w:color="auto"/>
            </w:tcBorders>
            <w:shd w:val="clear" w:color="000000" w:fill="D9D9D9"/>
            <w:vAlign w:val="center"/>
            <w:hideMark/>
          </w:tcPr>
          <w:p w14:paraId="6F30E118"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-3.083</w:t>
            </w:r>
          </w:p>
        </w:tc>
      </w:tr>
      <w:tr w:rsidR="00C75BA1" w:rsidRPr="00C75BA1" w14:paraId="28198559" w14:textId="77777777" w:rsidTr="009A2633">
        <w:trPr>
          <w:trHeight w:val="321"/>
        </w:trPr>
        <w:tc>
          <w:tcPr>
            <w:tcW w:w="4248" w:type="dxa"/>
            <w:tcBorders>
              <w:top w:val="single" w:sz="4" w:space="0" w:color="auto"/>
              <w:left w:val="single" w:sz="8" w:space="0" w:color="auto"/>
              <w:bottom w:val="single" w:sz="8" w:space="0" w:color="auto"/>
              <w:right w:val="single" w:sz="4" w:space="0" w:color="auto"/>
            </w:tcBorders>
            <w:shd w:val="clear" w:color="auto" w:fill="auto"/>
            <w:vAlign w:val="center"/>
          </w:tcPr>
          <w:p w14:paraId="5B533CDE" w14:textId="77777777" w:rsidR="00C75BA1" w:rsidRPr="00C75BA1" w:rsidRDefault="00C75BA1" w:rsidP="00C75BA1">
            <w:pPr>
              <w:autoSpaceDE/>
              <w:autoSpaceDN/>
              <w:adjustRightInd/>
              <w:spacing w:after="0"/>
              <w:jc w:val="left"/>
              <w:rPr>
                <w:rFonts w:eastAsia="Times New Roman" w:cs="Arial"/>
                <w:b/>
                <w:bCs/>
                <w:sz w:val="20"/>
                <w:szCs w:val="20"/>
                <w:lang w:eastAsia="en-GB"/>
              </w:rPr>
            </w:pPr>
          </w:p>
        </w:tc>
        <w:tc>
          <w:tcPr>
            <w:tcW w:w="1084" w:type="dxa"/>
            <w:tcBorders>
              <w:top w:val="single" w:sz="4" w:space="0" w:color="auto"/>
              <w:left w:val="nil"/>
              <w:bottom w:val="single" w:sz="8" w:space="0" w:color="auto"/>
              <w:right w:val="single" w:sz="4" w:space="0" w:color="auto"/>
            </w:tcBorders>
            <w:shd w:val="clear" w:color="auto" w:fill="auto"/>
            <w:vAlign w:val="center"/>
          </w:tcPr>
          <w:p w14:paraId="2352E864"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84" w:type="dxa"/>
            <w:tcBorders>
              <w:top w:val="single" w:sz="4" w:space="0" w:color="auto"/>
              <w:left w:val="nil"/>
              <w:bottom w:val="single" w:sz="8" w:space="0" w:color="auto"/>
              <w:right w:val="single" w:sz="4" w:space="0" w:color="auto"/>
            </w:tcBorders>
            <w:shd w:val="clear" w:color="auto" w:fill="auto"/>
            <w:vAlign w:val="center"/>
          </w:tcPr>
          <w:p w14:paraId="3EAA12B4"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single" w:sz="4" w:space="0" w:color="auto"/>
              <w:left w:val="nil"/>
              <w:bottom w:val="single" w:sz="8" w:space="0" w:color="auto"/>
              <w:right w:val="single" w:sz="4" w:space="0" w:color="auto"/>
            </w:tcBorders>
            <w:shd w:val="clear" w:color="auto" w:fill="auto"/>
            <w:vAlign w:val="center"/>
          </w:tcPr>
          <w:p w14:paraId="1D9C5D15"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451" w:type="dxa"/>
            <w:tcBorders>
              <w:top w:val="single" w:sz="4" w:space="0" w:color="auto"/>
              <w:left w:val="nil"/>
              <w:bottom w:val="single" w:sz="8" w:space="0" w:color="auto"/>
              <w:right w:val="single" w:sz="4" w:space="0" w:color="auto"/>
            </w:tcBorders>
            <w:shd w:val="clear" w:color="auto" w:fill="auto"/>
            <w:vAlign w:val="center"/>
          </w:tcPr>
          <w:p w14:paraId="12ABB25E"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157" w:type="dxa"/>
            <w:tcBorders>
              <w:top w:val="single" w:sz="4" w:space="0" w:color="auto"/>
              <w:left w:val="nil"/>
              <w:bottom w:val="single" w:sz="8" w:space="0" w:color="auto"/>
              <w:right w:val="single" w:sz="4" w:space="0" w:color="auto"/>
            </w:tcBorders>
            <w:shd w:val="clear" w:color="auto" w:fill="auto"/>
            <w:vAlign w:val="center"/>
          </w:tcPr>
          <w:p w14:paraId="5FE67B6A"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r>
      <w:tr w:rsidR="00C75BA1" w:rsidRPr="00C75BA1" w14:paraId="20C8F687" w14:textId="77777777" w:rsidTr="009A2633">
        <w:trPr>
          <w:trHeight w:val="306"/>
        </w:trPr>
        <w:tc>
          <w:tcPr>
            <w:tcW w:w="424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4CD03F4"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Public Health &amp; Wellbeing</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81D7E8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-67.656</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E8D026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-67.656</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12A1E3B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67A9A31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14:paraId="71E2B1B9"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-0.002</w:t>
            </w:r>
          </w:p>
        </w:tc>
      </w:tr>
      <w:tr w:rsidR="00C75BA1" w:rsidRPr="00C75BA1" w14:paraId="415D5AA3" w14:textId="77777777" w:rsidTr="009A2633">
        <w:trPr>
          <w:trHeight w:val="306"/>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58A6574F"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Health Equity Welfare &amp; Partnerships</w:t>
            </w:r>
          </w:p>
        </w:tc>
        <w:tc>
          <w:tcPr>
            <w:tcW w:w="1084" w:type="dxa"/>
            <w:tcBorders>
              <w:top w:val="nil"/>
              <w:left w:val="nil"/>
              <w:bottom w:val="single" w:sz="4" w:space="0" w:color="auto"/>
              <w:right w:val="single" w:sz="4" w:space="0" w:color="auto"/>
            </w:tcBorders>
            <w:shd w:val="clear" w:color="auto" w:fill="auto"/>
            <w:vAlign w:val="center"/>
            <w:hideMark/>
          </w:tcPr>
          <w:p w14:paraId="0070495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59.290</w:t>
            </w:r>
          </w:p>
        </w:tc>
        <w:tc>
          <w:tcPr>
            <w:tcW w:w="1084" w:type="dxa"/>
            <w:tcBorders>
              <w:top w:val="nil"/>
              <w:left w:val="nil"/>
              <w:bottom w:val="single" w:sz="4" w:space="0" w:color="auto"/>
              <w:right w:val="single" w:sz="4" w:space="0" w:color="auto"/>
            </w:tcBorders>
            <w:shd w:val="clear" w:color="auto" w:fill="auto"/>
            <w:vAlign w:val="center"/>
            <w:hideMark/>
          </w:tcPr>
          <w:p w14:paraId="6EBB628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59.290</w:t>
            </w:r>
          </w:p>
        </w:tc>
        <w:tc>
          <w:tcPr>
            <w:tcW w:w="1050" w:type="dxa"/>
            <w:tcBorders>
              <w:top w:val="nil"/>
              <w:left w:val="nil"/>
              <w:bottom w:val="single" w:sz="4" w:space="0" w:color="auto"/>
              <w:right w:val="single" w:sz="4" w:space="0" w:color="auto"/>
            </w:tcBorders>
            <w:shd w:val="clear" w:color="000000" w:fill="D9D9D9"/>
            <w:vAlign w:val="center"/>
            <w:hideMark/>
          </w:tcPr>
          <w:p w14:paraId="25C0BF6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451" w:type="dxa"/>
            <w:tcBorders>
              <w:top w:val="nil"/>
              <w:left w:val="nil"/>
              <w:bottom w:val="single" w:sz="4" w:space="0" w:color="auto"/>
              <w:right w:val="single" w:sz="4" w:space="0" w:color="auto"/>
            </w:tcBorders>
            <w:shd w:val="clear" w:color="auto" w:fill="auto"/>
            <w:vAlign w:val="center"/>
            <w:hideMark/>
          </w:tcPr>
          <w:p w14:paraId="6E7B7AF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w:t>
            </w:r>
          </w:p>
        </w:tc>
        <w:tc>
          <w:tcPr>
            <w:tcW w:w="1157" w:type="dxa"/>
            <w:tcBorders>
              <w:top w:val="nil"/>
              <w:left w:val="nil"/>
              <w:bottom w:val="single" w:sz="4" w:space="0" w:color="auto"/>
              <w:right w:val="single" w:sz="4" w:space="0" w:color="auto"/>
            </w:tcBorders>
            <w:shd w:val="clear" w:color="000000" w:fill="D9D9D9"/>
            <w:vAlign w:val="center"/>
            <w:hideMark/>
          </w:tcPr>
          <w:p w14:paraId="1228C6BF"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-0.014</w:t>
            </w:r>
          </w:p>
        </w:tc>
      </w:tr>
      <w:tr w:rsidR="00C75BA1" w:rsidRPr="00C75BA1" w14:paraId="2E2B1015" w14:textId="77777777" w:rsidTr="009A2633">
        <w:trPr>
          <w:trHeight w:val="306"/>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356B0378"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Health, Safety &amp; Resilience</w:t>
            </w:r>
          </w:p>
        </w:tc>
        <w:tc>
          <w:tcPr>
            <w:tcW w:w="1084" w:type="dxa"/>
            <w:tcBorders>
              <w:top w:val="nil"/>
              <w:left w:val="nil"/>
              <w:bottom w:val="single" w:sz="4" w:space="0" w:color="auto"/>
              <w:right w:val="single" w:sz="4" w:space="0" w:color="auto"/>
            </w:tcBorders>
            <w:shd w:val="clear" w:color="auto" w:fill="auto"/>
            <w:vAlign w:val="center"/>
            <w:hideMark/>
          </w:tcPr>
          <w:p w14:paraId="6570EDC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1.322</w:t>
            </w:r>
          </w:p>
        </w:tc>
        <w:tc>
          <w:tcPr>
            <w:tcW w:w="1084" w:type="dxa"/>
            <w:tcBorders>
              <w:top w:val="nil"/>
              <w:left w:val="nil"/>
              <w:bottom w:val="single" w:sz="4" w:space="0" w:color="auto"/>
              <w:right w:val="single" w:sz="4" w:space="0" w:color="auto"/>
            </w:tcBorders>
            <w:shd w:val="clear" w:color="auto" w:fill="auto"/>
            <w:vAlign w:val="center"/>
            <w:hideMark/>
          </w:tcPr>
          <w:p w14:paraId="385EEDAB"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1.064</w:t>
            </w:r>
          </w:p>
        </w:tc>
        <w:tc>
          <w:tcPr>
            <w:tcW w:w="1050" w:type="dxa"/>
            <w:tcBorders>
              <w:top w:val="nil"/>
              <w:left w:val="nil"/>
              <w:bottom w:val="single" w:sz="4" w:space="0" w:color="auto"/>
              <w:right w:val="single" w:sz="4" w:space="0" w:color="auto"/>
            </w:tcBorders>
            <w:shd w:val="clear" w:color="000000" w:fill="D9D9D9"/>
            <w:vAlign w:val="center"/>
            <w:hideMark/>
          </w:tcPr>
          <w:p w14:paraId="2CD0950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-0.259</w:t>
            </w:r>
          </w:p>
        </w:tc>
        <w:tc>
          <w:tcPr>
            <w:tcW w:w="1451" w:type="dxa"/>
            <w:tcBorders>
              <w:top w:val="nil"/>
              <w:left w:val="nil"/>
              <w:bottom w:val="single" w:sz="4" w:space="0" w:color="auto"/>
              <w:right w:val="single" w:sz="4" w:space="0" w:color="auto"/>
            </w:tcBorders>
            <w:shd w:val="clear" w:color="auto" w:fill="auto"/>
            <w:vAlign w:val="center"/>
            <w:hideMark/>
          </w:tcPr>
          <w:p w14:paraId="58F3356B"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-19.55%</w:t>
            </w:r>
          </w:p>
        </w:tc>
        <w:tc>
          <w:tcPr>
            <w:tcW w:w="1157" w:type="dxa"/>
            <w:tcBorders>
              <w:top w:val="nil"/>
              <w:left w:val="nil"/>
              <w:bottom w:val="single" w:sz="4" w:space="0" w:color="auto"/>
              <w:right w:val="single" w:sz="4" w:space="0" w:color="auto"/>
            </w:tcBorders>
            <w:shd w:val="clear" w:color="000000" w:fill="D9D9D9"/>
            <w:vAlign w:val="center"/>
            <w:hideMark/>
          </w:tcPr>
          <w:p w14:paraId="055522F7"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-0.282</w:t>
            </w:r>
          </w:p>
        </w:tc>
      </w:tr>
      <w:tr w:rsidR="00C75BA1" w:rsidRPr="00C75BA1" w14:paraId="1F5FAFC8" w14:textId="77777777" w:rsidTr="009A2633">
        <w:trPr>
          <w:trHeight w:val="306"/>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4514D1DE"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Trading Standards &amp; Scientific Services</w:t>
            </w:r>
          </w:p>
        </w:tc>
        <w:tc>
          <w:tcPr>
            <w:tcW w:w="1084" w:type="dxa"/>
            <w:tcBorders>
              <w:top w:val="nil"/>
              <w:left w:val="nil"/>
              <w:bottom w:val="single" w:sz="4" w:space="0" w:color="auto"/>
              <w:right w:val="single" w:sz="4" w:space="0" w:color="auto"/>
            </w:tcBorders>
            <w:shd w:val="clear" w:color="auto" w:fill="auto"/>
            <w:vAlign w:val="center"/>
            <w:hideMark/>
          </w:tcPr>
          <w:p w14:paraId="4AC3FC2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3.603</w:t>
            </w:r>
          </w:p>
        </w:tc>
        <w:tc>
          <w:tcPr>
            <w:tcW w:w="1084" w:type="dxa"/>
            <w:tcBorders>
              <w:top w:val="nil"/>
              <w:left w:val="nil"/>
              <w:bottom w:val="single" w:sz="4" w:space="0" w:color="auto"/>
              <w:right w:val="single" w:sz="4" w:space="0" w:color="auto"/>
            </w:tcBorders>
            <w:shd w:val="clear" w:color="auto" w:fill="auto"/>
            <w:vAlign w:val="center"/>
            <w:hideMark/>
          </w:tcPr>
          <w:p w14:paraId="5BAC469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4.031</w:t>
            </w:r>
          </w:p>
        </w:tc>
        <w:tc>
          <w:tcPr>
            <w:tcW w:w="1050" w:type="dxa"/>
            <w:tcBorders>
              <w:top w:val="nil"/>
              <w:left w:val="nil"/>
              <w:bottom w:val="single" w:sz="4" w:space="0" w:color="auto"/>
              <w:right w:val="single" w:sz="4" w:space="0" w:color="auto"/>
            </w:tcBorders>
            <w:shd w:val="clear" w:color="000000" w:fill="D9D9D9"/>
            <w:vAlign w:val="center"/>
            <w:hideMark/>
          </w:tcPr>
          <w:p w14:paraId="7B1D0F6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0.428</w:t>
            </w:r>
          </w:p>
        </w:tc>
        <w:tc>
          <w:tcPr>
            <w:tcW w:w="1451" w:type="dxa"/>
            <w:tcBorders>
              <w:top w:val="nil"/>
              <w:left w:val="nil"/>
              <w:bottom w:val="single" w:sz="4" w:space="0" w:color="auto"/>
              <w:right w:val="single" w:sz="4" w:space="0" w:color="auto"/>
            </w:tcBorders>
            <w:shd w:val="clear" w:color="auto" w:fill="auto"/>
            <w:vAlign w:val="center"/>
            <w:hideMark/>
          </w:tcPr>
          <w:p w14:paraId="24E5E37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11.88%</w:t>
            </w:r>
          </w:p>
        </w:tc>
        <w:tc>
          <w:tcPr>
            <w:tcW w:w="1157" w:type="dxa"/>
            <w:tcBorders>
              <w:top w:val="nil"/>
              <w:left w:val="nil"/>
              <w:bottom w:val="single" w:sz="4" w:space="0" w:color="auto"/>
              <w:right w:val="single" w:sz="4" w:space="0" w:color="auto"/>
            </w:tcBorders>
            <w:shd w:val="clear" w:color="000000" w:fill="D9D9D9"/>
            <w:vAlign w:val="center"/>
            <w:hideMark/>
          </w:tcPr>
          <w:p w14:paraId="2254842E"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0.333</w:t>
            </w:r>
          </w:p>
        </w:tc>
      </w:tr>
      <w:tr w:rsidR="00F74377" w:rsidRPr="00C75BA1" w14:paraId="7A91D01C" w14:textId="77777777" w:rsidTr="009A2633">
        <w:trPr>
          <w:trHeight w:val="321"/>
        </w:trPr>
        <w:tc>
          <w:tcPr>
            <w:tcW w:w="4248" w:type="dxa"/>
            <w:tcBorders>
              <w:top w:val="nil"/>
              <w:left w:val="single" w:sz="8" w:space="0" w:color="auto"/>
              <w:bottom w:val="single" w:sz="8" w:space="0" w:color="auto"/>
              <w:right w:val="single" w:sz="4" w:space="0" w:color="auto"/>
            </w:tcBorders>
            <w:shd w:val="clear" w:color="000000" w:fill="D9D9D9"/>
            <w:vAlign w:val="center"/>
            <w:hideMark/>
          </w:tcPr>
          <w:p w14:paraId="34E741AE" w14:textId="77777777" w:rsidR="00C75BA1" w:rsidRPr="00C75BA1" w:rsidRDefault="00C75BA1" w:rsidP="00C75BA1">
            <w:pPr>
              <w:autoSpaceDE/>
              <w:autoSpaceDN/>
              <w:adjustRightInd/>
              <w:spacing w:after="0"/>
              <w:jc w:val="left"/>
              <w:rPr>
                <w:rFonts w:eastAsia="Times New Roman" w:cs="Arial"/>
                <w:b/>
                <w:bCs/>
                <w:lang w:eastAsia="en-GB"/>
              </w:rPr>
            </w:pPr>
            <w:r w:rsidRPr="00C75BA1">
              <w:rPr>
                <w:rFonts w:eastAsia="Times New Roman" w:cs="Arial"/>
                <w:b/>
                <w:bCs/>
                <w:lang w:eastAsia="en-GB"/>
              </w:rPr>
              <w:t>Total Public Health</w:t>
            </w:r>
          </w:p>
        </w:tc>
        <w:tc>
          <w:tcPr>
            <w:tcW w:w="1084" w:type="dxa"/>
            <w:tcBorders>
              <w:top w:val="nil"/>
              <w:left w:val="nil"/>
              <w:bottom w:val="single" w:sz="8" w:space="0" w:color="auto"/>
              <w:right w:val="single" w:sz="4" w:space="0" w:color="auto"/>
            </w:tcBorders>
            <w:shd w:val="clear" w:color="000000" w:fill="D9D9D9"/>
            <w:vAlign w:val="center"/>
            <w:hideMark/>
          </w:tcPr>
          <w:p w14:paraId="26CF88A1"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-3.442</w:t>
            </w:r>
          </w:p>
        </w:tc>
        <w:tc>
          <w:tcPr>
            <w:tcW w:w="1084" w:type="dxa"/>
            <w:tcBorders>
              <w:top w:val="nil"/>
              <w:left w:val="nil"/>
              <w:bottom w:val="single" w:sz="8" w:space="0" w:color="auto"/>
              <w:right w:val="single" w:sz="4" w:space="0" w:color="auto"/>
            </w:tcBorders>
            <w:shd w:val="clear" w:color="000000" w:fill="D9D9D9"/>
            <w:vAlign w:val="center"/>
            <w:hideMark/>
          </w:tcPr>
          <w:p w14:paraId="02B948DB"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-3.272</w:t>
            </w:r>
          </w:p>
        </w:tc>
        <w:tc>
          <w:tcPr>
            <w:tcW w:w="1050" w:type="dxa"/>
            <w:tcBorders>
              <w:top w:val="nil"/>
              <w:left w:val="nil"/>
              <w:bottom w:val="single" w:sz="8" w:space="0" w:color="auto"/>
              <w:right w:val="single" w:sz="4" w:space="0" w:color="auto"/>
            </w:tcBorders>
            <w:shd w:val="clear" w:color="000000" w:fill="D9D9D9"/>
            <w:vAlign w:val="center"/>
            <w:hideMark/>
          </w:tcPr>
          <w:p w14:paraId="192CAE29"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0.169</w:t>
            </w:r>
          </w:p>
        </w:tc>
        <w:tc>
          <w:tcPr>
            <w:tcW w:w="1451" w:type="dxa"/>
            <w:tcBorders>
              <w:top w:val="nil"/>
              <w:left w:val="nil"/>
              <w:bottom w:val="single" w:sz="8" w:space="0" w:color="auto"/>
              <w:right w:val="single" w:sz="4" w:space="0" w:color="auto"/>
            </w:tcBorders>
            <w:shd w:val="clear" w:color="000000" w:fill="D9D9D9"/>
            <w:vAlign w:val="center"/>
            <w:hideMark/>
          </w:tcPr>
          <w:p w14:paraId="62222201"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4.92%</w:t>
            </w:r>
          </w:p>
        </w:tc>
        <w:tc>
          <w:tcPr>
            <w:tcW w:w="1157" w:type="dxa"/>
            <w:tcBorders>
              <w:top w:val="nil"/>
              <w:left w:val="nil"/>
              <w:bottom w:val="single" w:sz="8" w:space="0" w:color="auto"/>
              <w:right w:val="single" w:sz="4" w:space="0" w:color="auto"/>
            </w:tcBorders>
            <w:shd w:val="clear" w:color="000000" w:fill="D9D9D9"/>
            <w:vAlign w:val="center"/>
            <w:hideMark/>
          </w:tcPr>
          <w:p w14:paraId="527F594D"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0.035</w:t>
            </w:r>
          </w:p>
        </w:tc>
      </w:tr>
      <w:tr w:rsidR="00C75BA1" w:rsidRPr="00C75BA1" w14:paraId="105DDC77" w14:textId="77777777" w:rsidTr="009A2633">
        <w:trPr>
          <w:trHeight w:val="306"/>
        </w:trPr>
        <w:tc>
          <w:tcPr>
            <w:tcW w:w="4248" w:type="dxa"/>
            <w:tcBorders>
              <w:top w:val="nil"/>
              <w:left w:val="nil"/>
              <w:bottom w:val="nil"/>
              <w:right w:val="nil"/>
            </w:tcBorders>
            <w:shd w:val="clear" w:color="auto" w:fill="auto"/>
            <w:noWrap/>
            <w:vAlign w:val="bottom"/>
            <w:hideMark/>
          </w:tcPr>
          <w:p w14:paraId="46E9CD04"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84" w:type="dxa"/>
            <w:tcBorders>
              <w:top w:val="nil"/>
              <w:left w:val="nil"/>
              <w:bottom w:val="nil"/>
              <w:right w:val="nil"/>
            </w:tcBorders>
            <w:shd w:val="clear" w:color="auto" w:fill="auto"/>
            <w:noWrap/>
            <w:vAlign w:val="bottom"/>
            <w:hideMark/>
          </w:tcPr>
          <w:p w14:paraId="126ADC43" w14:textId="77777777" w:rsidR="00C75BA1" w:rsidRPr="00C75BA1" w:rsidRDefault="00C75BA1" w:rsidP="00C75BA1">
            <w:pPr>
              <w:autoSpaceDE/>
              <w:autoSpaceDN/>
              <w:adjustRightInd/>
              <w:spacing w:after="0"/>
              <w:jc w:val="left"/>
              <w:rPr>
                <w:rFonts w:ascii="Times New Roman" w:eastAsia="Times New Roman" w:hAnsi="Times New Roman" w:cs="Times New Roman"/>
                <w:color w:val="auto"/>
                <w:sz w:val="20"/>
                <w:szCs w:val="20"/>
                <w:lang w:eastAsia="en-GB"/>
              </w:rPr>
            </w:pPr>
          </w:p>
        </w:tc>
        <w:tc>
          <w:tcPr>
            <w:tcW w:w="1084" w:type="dxa"/>
            <w:tcBorders>
              <w:top w:val="nil"/>
              <w:left w:val="nil"/>
              <w:bottom w:val="nil"/>
              <w:right w:val="nil"/>
            </w:tcBorders>
            <w:shd w:val="clear" w:color="auto" w:fill="auto"/>
            <w:noWrap/>
            <w:vAlign w:val="bottom"/>
            <w:hideMark/>
          </w:tcPr>
          <w:p w14:paraId="2890A698" w14:textId="77777777" w:rsidR="00C75BA1" w:rsidRPr="00C75BA1" w:rsidRDefault="00C75BA1" w:rsidP="00C75BA1">
            <w:pPr>
              <w:autoSpaceDE/>
              <w:autoSpaceDN/>
              <w:adjustRightInd/>
              <w:spacing w:after="0"/>
              <w:jc w:val="left"/>
              <w:rPr>
                <w:rFonts w:ascii="Times New Roman" w:eastAsia="Times New Roman" w:hAnsi="Times New Roman" w:cs="Times New Roman"/>
                <w:color w:val="auto"/>
                <w:sz w:val="20"/>
                <w:szCs w:val="20"/>
                <w:lang w:eastAsia="en-GB"/>
              </w:rPr>
            </w:pPr>
          </w:p>
        </w:tc>
        <w:tc>
          <w:tcPr>
            <w:tcW w:w="1050" w:type="dxa"/>
            <w:tcBorders>
              <w:top w:val="nil"/>
              <w:left w:val="nil"/>
              <w:bottom w:val="nil"/>
              <w:right w:val="nil"/>
            </w:tcBorders>
            <w:shd w:val="clear" w:color="auto" w:fill="auto"/>
            <w:noWrap/>
            <w:vAlign w:val="bottom"/>
            <w:hideMark/>
          </w:tcPr>
          <w:p w14:paraId="5053EE28" w14:textId="77777777" w:rsidR="00C75BA1" w:rsidRPr="00C75BA1" w:rsidRDefault="00C75BA1" w:rsidP="00C75BA1">
            <w:pPr>
              <w:autoSpaceDE/>
              <w:autoSpaceDN/>
              <w:adjustRightInd/>
              <w:spacing w:after="0"/>
              <w:jc w:val="left"/>
              <w:rPr>
                <w:rFonts w:ascii="Times New Roman" w:eastAsia="Times New Roman" w:hAnsi="Times New Roman" w:cs="Times New Roman"/>
                <w:color w:val="auto"/>
                <w:sz w:val="20"/>
                <w:szCs w:val="20"/>
                <w:lang w:eastAsia="en-GB"/>
              </w:rPr>
            </w:pPr>
          </w:p>
        </w:tc>
        <w:tc>
          <w:tcPr>
            <w:tcW w:w="1451" w:type="dxa"/>
            <w:tcBorders>
              <w:top w:val="nil"/>
              <w:left w:val="nil"/>
              <w:bottom w:val="nil"/>
              <w:right w:val="nil"/>
            </w:tcBorders>
            <w:shd w:val="clear" w:color="auto" w:fill="auto"/>
            <w:noWrap/>
            <w:vAlign w:val="bottom"/>
            <w:hideMark/>
          </w:tcPr>
          <w:p w14:paraId="3EE465AC" w14:textId="77777777" w:rsidR="00C75BA1" w:rsidRPr="00C75BA1" w:rsidRDefault="00C75BA1" w:rsidP="00C75BA1">
            <w:pPr>
              <w:autoSpaceDE/>
              <w:autoSpaceDN/>
              <w:adjustRightInd/>
              <w:spacing w:after="0"/>
              <w:jc w:val="left"/>
              <w:rPr>
                <w:rFonts w:ascii="Times New Roman" w:eastAsia="Times New Roman" w:hAnsi="Times New Roman" w:cs="Times New Roman"/>
                <w:color w:val="auto"/>
                <w:sz w:val="20"/>
                <w:szCs w:val="20"/>
                <w:lang w:eastAsia="en-GB"/>
              </w:rPr>
            </w:pPr>
          </w:p>
        </w:tc>
        <w:tc>
          <w:tcPr>
            <w:tcW w:w="1157" w:type="dxa"/>
            <w:tcBorders>
              <w:top w:val="nil"/>
              <w:left w:val="nil"/>
              <w:bottom w:val="nil"/>
              <w:right w:val="nil"/>
            </w:tcBorders>
            <w:shd w:val="clear" w:color="auto" w:fill="auto"/>
            <w:noWrap/>
            <w:vAlign w:val="bottom"/>
            <w:hideMark/>
          </w:tcPr>
          <w:p w14:paraId="5B1D5BF6" w14:textId="77777777" w:rsidR="00C75BA1" w:rsidRPr="00C75BA1" w:rsidRDefault="00C75BA1" w:rsidP="00C75BA1">
            <w:pPr>
              <w:autoSpaceDE/>
              <w:autoSpaceDN/>
              <w:adjustRightInd/>
              <w:spacing w:after="0"/>
              <w:jc w:val="left"/>
              <w:rPr>
                <w:rFonts w:ascii="Times New Roman" w:eastAsia="Times New Roman" w:hAnsi="Times New Roman" w:cs="Times New Roman"/>
                <w:color w:val="auto"/>
                <w:sz w:val="20"/>
                <w:szCs w:val="20"/>
                <w:lang w:eastAsia="en-GB"/>
              </w:rPr>
            </w:pPr>
          </w:p>
        </w:tc>
      </w:tr>
      <w:tr w:rsidR="00F74377" w:rsidRPr="00C75BA1" w14:paraId="5BBD17A7" w14:textId="77777777" w:rsidTr="009A2633">
        <w:trPr>
          <w:trHeight w:val="321"/>
        </w:trPr>
        <w:tc>
          <w:tcPr>
            <w:tcW w:w="4248"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7BDF6A83" w14:textId="14B79CC6" w:rsidR="00C75BA1" w:rsidRPr="00C75BA1" w:rsidRDefault="00C75BA1" w:rsidP="00C75BA1">
            <w:pPr>
              <w:autoSpaceDE/>
              <w:autoSpaceDN/>
              <w:adjustRightInd/>
              <w:spacing w:after="0"/>
              <w:jc w:val="left"/>
              <w:rPr>
                <w:rFonts w:eastAsia="Times New Roman" w:cs="Arial"/>
                <w:b/>
                <w:bCs/>
                <w:lang w:eastAsia="en-GB"/>
              </w:rPr>
            </w:pPr>
            <w:r w:rsidRPr="00C75BA1">
              <w:rPr>
                <w:rFonts w:eastAsia="Times New Roman" w:cs="Arial"/>
                <w:b/>
                <w:bCs/>
                <w:lang w:eastAsia="en-GB"/>
              </w:rPr>
              <w:t>Total Adult Services and Health and Wellbeing</w:t>
            </w:r>
          </w:p>
        </w:tc>
        <w:tc>
          <w:tcPr>
            <w:tcW w:w="1084" w:type="dxa"/>
            <w:tcBorders>
              <w:top w:val="single" w:sz="4" w:space="0" w:color="auto"/>
              <w:left w:val="nil"/>
              <w:bottom w:val="single" w:sz="8" w:space="0" w:color="auto"/>
              <w:right w:val="single" w:sz="4" w:space="0" w:color="auto"/>
            </w:tcBorders>
            <w:shd w:val="clear" w:color="000000" w:fill="D9D9D9"/>
            <w:vAlign w:val="center"/>
            <w:hideMark/>
          </w:tcPr>
          <w:p w14:paraId="45062704"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421.238</w:t>
            </w:r>
          </w:p>
        </w:tc>
        <w:tc>
          <w:tcPr>
            <w:tcW w:w="1084" w:type="dxa"/>
            <w:tcBorders>
              <w:top w:val="single" w:sz="4" w:space="0" w:color="auto"/>
              <w:left w:val="nil"/>
              <w:bottom w:val="single" w:sz="8" w:space="0" w:color="auto"/>
              <w:right w:val="single" w:sz="4" w:space="0" w:color="auto"/>
            </w:tcBorders>
            <w:shd w:val="clear" w:color="000000" w:fill="D9D9D9"/>
            <w:vAlign w:val="center"/>
            <w:hideMark/>
          </w:tcPr>
          <w:p w14:paraId="18138F02"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414.094</w:t>
            </w:r>
          </w:p>
        </w:tc>
        <w:tc>
          <w:tcPr>
            <w:tcW w:w="1050" w:type="dxa"/>
            <w:tcBorders>
              <w:top w:val="single" w:sz="4" w:space="0" w:color="auto"/>
              <w:left w:val="nil"/>
              <w:bottom w:val="single" w:sz="8" w:space="0" w:color="auto"/>
              <w:right w:val="single" w:sz="4" w:space="0" w:color="auto"/>
            </w:tcBorders>
            <w:shd w:val="clear" w:color="000000" w:fill="D9D9D9"/>
            <w:vAlign w:val="center"/>
            <w:hideMark/>
          </w:tcPr>
          <w:p w14:paraId="41620F4D"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-7.144</w:t>
            </w:r>
          </w:p>
        </w:tc>
        <w:tc>
          <w:tcPr>
            <w:tcW w:w="1451" w:type="dxa"/>
            <w:tcBorders>
              <w:top w:val="single" w:sz="4" w:space="0" w:color="auto"/>
              <w:left w:val="nil"/>
              <w:bottom w:val="single" w:sz="8" w:space="0" w:color="auto"/>
              <w:right w:val="single" w:sz="4" w:space="0" w:color="auto"/>
            </w:tcBorders>
            <w:shd w:val="clear" w:color="000000" w:fill="D9D9D9"/>
            <w:vAlign w:val="center"/>
            <w:hideMark/>
          </w:tcPr>
          <w:p w14:paraId="69F1D310"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-1.70%</w:t>
            </w:r>
          </w:p>
        </w:tc>
        <w:tc>
          <w:tcPr>
            <w:tcW w:w="1157" w:type="dxa"/>
            <w:tcBorders>
              <w:top w:val="single" w:sz="4" w:space="0" w:color="auto"/>
              <w:left w:val="nil"/>
              <w:bottom w:val="single" w:sz="8" w:space="0" w:color="auto"/>
              <w:right w:val="single" w:sz="4" w:space="0" w:color="auto"/>
            </w:tcBorders>
            <w:shd w:val="clear" w:color="000000" w:fill="D9D9D9"/>
            <w:vAlign w:val="center"/>
            <w:hideMark/>
          </w:tcPr>
          <w:p w14:paraId="7D3B01B2"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-3.049</w:t>
            </w:r>
          </w:p>
        </w:tc>
      </w:tr>
    </w:tbl>
    <w:p w14:paraId="66D6A4B8" w14:textId="537A21BA" w:rsidR="00C75BA1" w:rsidRDefault="00C75BA1" w:rsidP="00C75BA1">
      <w:pPr>
        <w:autoSpaceDE/>
        <w:autoSpaceDN/>
        <w:adjustRightInd/>
        <w:spacing w:after="0" w:line="259" w:lineRule="auto"/>
        <w:contextualSpacing/>
        <w:rPr>
          <w:rFonts w:cs="Arial"/>
          <w:b/>
          <w:u w:val="single"/>
        </w:rPr>
      </w:pPr>
    </w:p>
    <w:p w14:paraId="6A3D43B1" w14:textId="352086C6" w:rsidR="000F78F1" w:rsidRPr="00DD5EC0" w:rsidRDefault="000F78F1" w:rsidP="000F78F1">
      <w:pPr>
        <w:tabs>
          <w:tab w:val="left" w:pos="1418"/>
        </w:tabs>
        <w:spacing w:after="0"/>
        <w:contextualSpacing/>
        <w:rPr>
          <w:rFonts w:cs="Arial"/>
        </w:rPr>
      </w:pPr>
      <w:r w:rsidRPr="00DD5EC0">
        <w:rPr>
          <w:rFonts w:cs="Arial"/>
        </w:rPr>
        <w:t>The total net approved budget for Adult Services and Health and Wellbeing in 2022/23 is £421.23</w:t>
      </w:r>
      <w:r w:rsidR="00DD5EC0">
        <w:rPr>
          <w:rFonts w:cs="Arial"/>
        </w:rPr>
        <w:t>8</w:t>
      </w:r>
      <w:r w:rsidRPr="00DD5EC0">
        <w:rPr>
          <w:rFonts w:cs="Arial"/>
        </w:rPr>
        <w:t xml:space="preserve">m.  As at the end of </w:t>
      </w:r>
      <w:r w:rsidR="00DD5EC0">
        <w:rPr>
          <w:rFonts w:cs="Arial"/>
        </w:rPr>
        <w:t>November</w:t>
      </w:r>
      <w:r w:rsidRPr="00DD5EC0">
        <w:rPr>
          <w:rFonts w:cs="Arial"/>
        </w:rPr>
        <w:t xml:space="preserve"> 2022, the service is forecast to underspend by £</w:t>
      </w:r>
      <w:r w:rsidR="00DD5EC0">
        <w:rPr>
          <w:rFonts w:cs="Arial"/>
        </w:rPr>
        <w:t>7.144</w:t>
      </w:r>
      <w:r w:rsidRPr="00DD5EC0">
        <w:rPr>
          <w:rFonts w:cs="Arial"/>
        </w:rPr>
        <w:t>m.  This is an improvement of £</w:t>
      </w:r>
      <w:r w:rsidR="00DD5EC0">
        <w:rPr>
          <w:rFonts w:cs="Arial"/>
        </w:rPr>
        <w:t>4.095</w:t>
      </w:r>
      <w:r w:rsidRPr="00DD5EC0">
        <w:rPr>
          <w:rFonts w:cs="Arial"/>
        </w:rPr>
        <w:t xml:space="preserve">m compared to Quarter </w:t>
      </w:r>
      <w:r w:rsidR="00DD5EC0">
        <w:rPr>
          <w:rFonts w:cs="Arial"/>
        </w:rPr>
        <w:t>2</w:t>
      </w:r>
      <w:r w:rsidRPr="00DD5EC0">
        <w:rPr>
          <w:rFonts w:cs="Arial"/>
        </w:rPr>
        <w:t xml:space="preserve">. </w:t>
      </w:r>
    </w:p>
    <w:p w14:paraId="31CC0A83" w14:textId="77777777" w:rsidR="000F78F1" w:rsidRPr="00C75BA1" w:rsidRDefault="000F78F1" w:rsidP="000F78F1">
      <w:pPr>
        <w:spacing w:after="0"/>
        <w:ind w:right="-90"/>
        <w:textAlignment w:val="baseline"/>
        <w:rPr>
          <w:rFonts w:cs="Arial"/>
          <w:highlight w:val="yellow"/>
        </w:rPr>
      </w:pPr>
    </w:p>
    <w:p w14:paraId="404B1B39" w14:textId="2EC17991" w:rsidR="000F78F1" w:rsidRPr="00DD5EC0" w:rsidRDefault="000F78F1" w:rsidP="000F78F1">
      <w:pPr>
        <w:spacing w:after="0"/>
        <w:ind w:right="-90"/>
        <w:textAlignment w:val="baseline"/>
        <w:rPr>
          <w:rFonts w:eastAsia="Times New Roman" w:cs="Arial"/>
          <w:b/>
          <w:bCs/>
          <w:u w:val="single"/>
          <w:lang w:eastAsia="en-GB"/>
        </w:rPr>
      </w:pPr>
      <w:r w:rsidRPr="00DD5EC0">
        <w:rPr>
          <w:rFonts w:eastAsia="Times New Roman" w:cs="Arial"/>
          <w:b/>
          <w:bCs/>
          <w:u w:val="single"/>
          <w:lang w:eastAsia="en-GB"/>
        </w:rPr>
        <w:t>Adult Services – Forecast underspend £</w:t>
      </w:r>
      <w:r w:rsidR="00DD5EC0" w:rsidRPr="00DD5EC0">
        <w:rPr>
          <w:rFonts w:eastAsia="Times New Roman" w:cs="Arial"/>
          <w:b/>
          <w:bCs/>
          <w:u w:val="single"/>
          <w:lang w:eastAsia="en-GB"/>
        </w:rPr>
        <w:t>7.313</w:t>
      </w:r>
      <w:r w:rsidRPr="00DD5EC0">
        <w:rPr>
          <w:rFonts w:eastAsia="Times New Roman" w:cs="Arial"/>
          <w:b/>
          <w:bCs/>
          <w:u w:val="single"/>
          <w:lang w:eastAsia="en-GB"/>
        </w:rPr>
        <w:t>m</w:t>
      </w:r>
    </w:p>
    <w:p w14:paraId="1C603BDE" w14:textId="77777777" w:rsidR="000F78F1" w:rsidRPr="00C75BA1" w:rsidRDefault="000F78F1" w:rsidP="000F78F1">
      <w:pPr>
        <w:spacing w:after="0"/>
        <w:ind w:right="-90"/>
        <w:textAlignment w:val="baseline"/>
        <w:rPr>
          <w:rFonts w:eastAsia="Times New Roman" w:cs="Arial"/>
          <w:highlight w:val="yellow"/>
          <w:lang w:eastAsia="en-GB"/>
        </w:rPr>
      </w:pPr>
    </w:p>
    <w:p w14:paraId="32E5652D" w14:textId="5D16076F" w:rsidR="000F78F1" w:rsidRDefault="000F78F1" w:rsidP="000F78F1">
      <w:pPr>
        <w:spacing w:after="0"/>
        <w:ind w:right="-90"/>
        <w:textAlignment w:val="baseline"/>
        <w:rPr>
          <w:rFonts w:eastAsia="Times New Roman" w:cs="Arial"/>
          <w:lang w:eastAsia="en-GB"/>
        </w:rPr>
      </w:pPr>
      <w:r w:rsidRPr="00DD5EC0">
        <w:rPr>
          <w:rFonts w:eastAsia="Times New Roman" w:cs="Arial"/>
          <w:lang w:eastAsia="en-GB"/>
        </w:rPr>
        <w:t>The total 2022/23 budget for Adult Services is net expenditure of £42</w:t>
      </w:r>
      <w:r w:rsidR="00DD5EC0" w:rsidRPr="00DD5EC0">
        <w:rPr>
          <w:rFonts w:eastAsia="Times New Roman" w:cs="Arial"/>
          <w:lang w:eastAsia="en-GB"/>
        </w:rPr>
        <w:t>4.680</w:t>
      </w:r>
      <w:r w:rsidRPr="00DD5EC0">
        <w:rPr>
          <w:rFonts w:eastAsia="Times New Roman" w:cs="Arial"/>
          <w:lang w:eastAsia="en-GB"/>
        </w:rPr>
        <w:t>m.</w:t>
      </w:r>
      <w:r w:rsidR="00D9628F">
        <w:rPr>
          <w:rFonts w:eastAsia="Times New Roman" w:cs="Arial"/>
          <w:lang w:eastAsia="en-GB"/>
        </w:rPr>
        <w:t xml:space="preserve"> </w:t>
      </w:r>
      <w:r w:rsidRPr="00DD5EC0">
        <w:rPr>
          <w:rFonts w:eastAsia="Times New Roman" w:cs="Arial"/>
          <w:lang w:eastAsia="en-GB"/>
        </w:rPr>
        <w:t xml:space="preserve">The forecasted outturn estimated as at the end of </w:t>
      </w:r>
      <w:r w:rsidR="00DD5EC0" w:rsidRPr="00DD5EC0">
        <w:rPr>
          <w:rFonts w:eastAsia="Times New Roman" w:cs="Arial"/>
          <w:lang w:eastAsia="en-GB"/>
        </w:rPr>
        <w:t>November</w:t>
      </w:r>
      <w:r w:rsidRPr="00DD5EC0">
        <w:rPr>
          <w:rFonts w:eastAsia="Times New Roman" w:cs="Arial"/>
          <w:lang w:eastAsia="en-GB"/>
        </w:rPr>
        <w:t xml:space="preserve"> 2022 is £4</w:t>
      </w:r>
      <w:r w:rsidR="00DD5EC0" w:rsidRPr="00DD5EC0">
        <w:rPr>
          <w:rFonts w:eastAsia="Times New Roman" w:cs="Arial"/>
          <w:lang w:eastAsia="en-GB"/>
        </w:rPr>
        <w:t>17.366</w:t>
      </w:r>
      <w:r w:rsidRPr="00DD5EC0">
        <w:rPr>
          <w:rFonts w:eastAsia="Times New Roman" w:cs="Arial"/>
          <w:lang w:eastAsia="en-GB"/>
        </w:rPr>
        <w:t>m resulting in an underspend of £</w:t>
      </w:r>
      <w:r w:rsidR="00DD5EC0" w:rsidRPr="00DD5EC0">
        <w:rPr>
          <w:rFonts w:eastAsia="Times New Roman" w:cs="Arial"/>
          <w:lang w:eastAsia="en-GB"/>
        </w:rPr>
        <w:t>7.313</w:t>
      </w:r>
      <w:r w:rsidRPr="00DD5EC0">
        <w:rPr>
          <w:rFonts w:eastAsia="Times New Roman" w:cs="Arial"/>
          <w:lang w:eastAsia="en-GB"/>
        </w:rPr>
        <w:t xml:space="preserve">m equating to </w:t>
      </w:r>
      <w:r w:rsidR="00DD5EC0" w:rsidRPr="00DD5EC0">
        <w:rPr>
          <w:rFonts w:eastAsia="Times New Roman" w:cs="Arial"/>
          <w:lang w:eastAsia="en-GB"/>
        </w:rPr>
        <w:t>1.72</w:t>
      </w:r>
      <w:r w:rsidRPr="00DD5EC0">
        <w:rPr>
          <w:rFonts w:eastAsia="Times New Roman" w:cs="Arial"/>
          <w:lang w:eastAsia="en-GB"/>
        </w:rPr>
        <w:t>% of the total budget.  </w:t>
      </w:r>
    </w:p>
    <w:p w14:paraId="6143F885" w14:textId="07A1E029" w:rsidR="00DD5EC0" w:rsidRDefault="00DD5EC0" w:rsidP="000F78F1">
      <w:pPr>
        <w:spacing w:after="0"/>
        <w:ind w:right="-90"/>
        <w:textAlignment w:val="baseline"/>
        <w:rPr>
          <w:rFonts w:eastAsia="Times New Roman" w:cs="Arial"/>
          <w:lang w:eastAsia="en-GB"/>
        </w:rPr>
      </w:pPr>
    </w:p>
    <w:p w14:paraId="0FB09374" w14:textId="7B639B65" w:rsidR="00DD5EC0" w:rsidRDefault="00DD5EC0" w:rsidP="000F78F1">
      <w:pPr>
        <w:spacing w:after="0"/>
        <w:ind w:right="-90"/>
        <w:textAlignment w:val="baseline"/>
        <w:rPr>
          <w:rFonts w:eastAsia="Times New Roman" w:cs="Arial"/>
          <w:lang w:eastAsia="en-GB"/>
        </w:rPr>
      </w:pPr>
      <w:r>
        <w:rPr>
          <w:rFonts w:eastAsia="Times New Roman" w:cs="Arial"/>
          <w:lang w:eastAsia="en-GB"/>
        </w:rPr>
        <w:t xml:space="preserve">Whilst the position in this financial year appears positive, it is important to recognise that there are some significant "one-off" elements that are resulting in the service forecasting an underspend. In 2022/23 and future years the service has significant levels of savings to deliver to stay within their budget envelope, with some savings agreed to be delivered in previous financial years being delayed due to the impact of </w:t>
      </w:r>
      <w:r>
        <w:rPr>
          <w:rFonts w:eastAsia="Times New Roman" w:cs="Arial"/>
          <w:lang w:eastAsia="en-GB"/>
        </w:rPr>
        <w:lastRenderedPageBreak/>
        <w:t xml:space="preserve">the </w:t>
      </w:r>
      <w:r w:rsidRPr="009D71C2">
        <w:rPr>
          <w:rFonts w:eastAsia="Times New Roman" w:cs="Arial"/>
          <w:lang w:eastAsia="en-GB"/>
        </w:rPr>
        <w:t>pandemic. If the service did not have those non-recurrent benefits within its financial position in 2022/23 then the service would be forecasting an overspend</w:t>
      </w:r>
      <w:r w:rsidR="009D71C2" w:rsidRPr="009D71C2">
        <w:rPr>
          <w:rFonts w:eastAsia="Times New Roman" w:cs="Arial"/>
          <w:lang w:eastAsia="en-GB"/>
        </w:rPr>
        <w:t>, due in the main to cost pressures that are largely outside of our control such as wage and general price inflation.</w:t>
      </w:r>
    </w:p>
    <w:p w14:paraId="25674BA9" w14:textId="1F14703D" w:rsidR="000F78F1" w:rsidRPr="00DD5EC0" w:rsidRDefault="000F78F1" w:rsidP="000F78F1">
      <w:pPr>
        <w:spacing w:after="0"/>
        <w:ind w:right="-90"/>
        <w:textAlignment w:val="baseline"/>
        <w:rPr>
          <w:rFonts w:ascii="Segoe UI" w:eastAsia="Times New Roman" w:hAnsi="Segoe UI" w:cs="Segoe UI"/>
          <w:sz w:val="18"/>
          <w:szCs w:val="18"/>
          <w:lang w:eastAsia="en-GB"/>
        </w:rPr>
      </w:pPr>
    </w:p>
    <w:p w14:paraId="06CE63D8" w14:textId="77777777" w:rsidR="000F78F1" w:rsidRPr="00DD5EC0" w:rsidRDefault="000F78F1" w:rsidP="000F78F1">
      <w:pPr>
        <w:spacing w:after="0"/>
      </w:pPr>
      <w:r w:rsidRPr="00DD5EC0">
        <w:t xml:space="preserve">This position contains a mixture of both under and overspends, with the most significant pressure being the recently agreed pay award. As this pay award has been calculated on a flat rate per employee, the % uplift is greater for the grades that predominantly make up </w:t>
      </w:r>
      <w:proofErr w:type="gramStart"/>
      <w:r w:rsidRPr="00DD5EC0">
        <w:t>the majority of</w:t>
      </w:r>
      <w:proofErr w:type="gramEnd"/>
      <w:r w:rsidRPr="00DD5EC0">
        <w:t xml:space="preserve"> our care staff working in our care provider services and therefore the total pressure is significant at £5m. </w:t>
      </w:r>
    </w:p>
    <w:p w14:paraId="36D919F4" w14:textId="77777777" w:rsidR="000F78F1" w:rsidRPr="00C75BA1" w:rsidRDefault="000F78F1" w:rsidP="000F78F1">
      <w:pPr>
        <w:spacing w:after="0"/>
        <w:rPr>
          <w:highlight w:val="yellow"/>
        </w:rPr>
      </w:pPr>
    </w:p>
    <w:p w14:paraId="1CE638F1" w14:textId="621632DF" w:rsidR="00476391" w:rsidRDefault="000F78F1" w:rsidP="000F78F1">
      <w:pPr>
        <w:spacing w:after="0"/>
      </w:pPr>
      <w:r w:rsidRPr="00DD5EC0">
        <w:t xml:space="preserve">The largest source of the positive variance to budget has been the greater success in recovery of income. </w:t>
      </w:r>
      <w:r w:rsidR="00DD5EC0" w:rsidRPr="00DD5EC0">
        <w:t>As part of day-to-day activities</w:t>
      </w:r>
      <w:r w:rsidR="004657D2">
        <w:t>,</w:t>
      </w:r>
      <w:r w:rsidR="00DD5EC0" w:rsidRPr="00DD5EC0">
        <w:t xml:space="preserve"> services working in conjunction with finance teams recover income as appropriate from both service users and the NHS. </w:t>
      </w:r>
      <w:r w:rsidR="00476391">
        <w:t xml:space="preserve">As part of the 2022/23 position, the </w:t>
      </w:r>
      <w:r w:rsidR="00675EA7">
        <w:t>c</w:t>
      </w:r>
      <w:r w:rsidR="00476391">
        <w:t xml:space="preserve">ounty </w:t>
      </w:r>
      <w:r w:rsidR="00675EA7">
        <w:t>c</w:t>
      </w:r>
      <w:r w:rsidR="00DA1C86" w:rsidRPr="00476391">
        <w:t>ouncil</w:t>
      </w:r>
      <w:r w:rsidR="00DA1C86">
        <w:t>'s</w:t>
      </w:r>
      <w:r w:rsidR="00DA1C86" w:rsidRPr="00476391">
        <w:t xml:space="preserve"> most notabl</w:t>
      </w:r>
      <w:r w:rsidR="00DA1C86">
        <w:t>e</w:t>
      </w:r>
      <w:r w:rsidR="00DA1C86" w:rsidRPr="00476391">
        <w:t xml:space="preserve"> agreement </w:t>
      </w:r>
      <w:r w:rsidR="00DA1C86">
        <w:t xml:space="preserve">with the NHS </w:t>
      </w:r>
      <w:r w:rsidR="00DA1C86" w:rsidRPr="00476391">
        <w:t xml:space="preserve">was </w:t>
      </w:r>
      <w:r w:rsidR="00DA1C86">
        <w:t xml:space="preserve">in relation to </w:t>
      </w:r>
      <w:r w:rsidR="00DA1C86" w:rsidRPr="00476391">
        <w:t>Continuing Health Care and</w:t>
      </w:r>
      <w:r w:rsidR="00DA1C86">
        <w:t xml:space="preserve"> </w:t>
      </w:r>
      <w:proofErr w:type="gramStart"/>
      <w:r w:rsidR="00DA1C86">
        <w:t>a number of</w:t>
      </w:r>
      <w:proofErr w:type="gramEnd"/>
      <w:r w:rsidR="00DA1C86" w:rsidRPr="00476391">
        <w:t xml:space="preserve"> joint funding case</w:t>
      </w:r>
      <w:r w:rsidR="00DA1C86">
        <w:t>s</w:t>
      </w:r>
      <w:r w:rsidR="000C7BD6">
        <w:t>,</w:t>
      </w:r>
      <w:r w:rsidR="00476391" w:rsidRPr="00476391">
        <w:t xml:space="preserve"> which resulted in £4.6m being received by the </w:t>
      </w:r>
      <w:r w:rsidR="00C938C5">
        <w:t>c</w:t>
      </w:r>
      <w:r w:rsidR="00476391" w:rsidRPr="00476391">
        <w:t xml:space="preserve">ounty </w:t>
      </w:r>
      <w:r w:rsidR="00C938C5">
        <w:t>c</w:t>
      </w:r>
      <w:r w:rsidR="00476391" w:rsidRPr="00476391">
        <w:t xml:space="preserve">ouncil from the NHS. Further work is taking place to review how costs are more appropriately shared with the NHS, other </w:t>
      </w:r>
      <w:proofErr w:type="gramStart"/>
      <w:r w:rsidR="00476391" w:rsidRPr="00476391">
        <w:t>partners</w:t>
      </w:r>
      <w:proofErr w:type="gramEnd"/>
      <w:r w:rsidR="00476391" w:rsidRPr="00476391">
        <w:t xml:space="preserve"> and service users where this is applicable</w:t>
      </w:r>
      <w:r w:rsidR="00476391">
        <w:t xml:space="preserve">. </w:t>
      </w:r>
    </w:p>
    <w:p w14:paraId="2D878515" w14:textId="77777777" w:rsidR="00476391" w:rsidRDefault="00476391" w:rsidP="000F78F1">
      <w:pPr>
        <w:spacing w:after="0"/>
      </w:pPr>
    </w:p>
    <w:p w14:paraId="41C5803B" w14:textId="4D81BF1C" w:rsidR="000F78F1" w:rsidRPr="00C75BA1" w:rsidRDefault="00476391" w:rsidP="000F78F1">
      <w:pPr>
        <w:spacing w:after="0"/>
        <w:rPr>
          <w:highlight w:val="yellow"/>
        </w:rPr>
      </w:pPr>
      <w:r>
        <w:t>As part of funding support provided by the Government during the pandemic, the Contain Outbreak Management Fund was awarded to Councils. As part of the Quarter 3 monitoring position, following a review of eligible costs to be attributed against this grant funding, additional funds of £3.4m</w:t>
      </w:r>
      <w:r w:rsidR="00B139B9">
        <w:t xml:space="preserve"> have been allocated to the Adult Services budget.</w:t>
      </w:r>
      <w:r>
        <w:t xml:space="preserve"> </w:t>
      </w:r>
      <w:r w:rsidR="00B139B9">
        <w:t xml:space="preserve">These funds offset the additional cost pressures associated with providing safe services in our in house services for example, ensuring appropriate staffing levels and maintaining high standards of infection control, in addition to the increasing demands on our services from for example supporting more people being discharged from hospitals. </w:t>
      </w:r>
    </w:p>
    <w:p w14:paraId="50D52210" w14:textId="77777777" w:rsidR="000F78F1" w:rsidRPr="00C75BA1" w:rsidRDefault="000F78F1" w:rsidP="000F78F1">
      <w:pPr>
        <w:spacing w:after="0"/>
        <w:rPr>
          <w:highlight w:val="yellow"/>
        </w:rPr>
      </w:pPr>
    </w:p>
    <w:p w14:paraId="1B88965B" w14:textId="5BDC38E1" w:rsidR="000F78F1" w:rsidRPr="00476391" w:rsidRDefault="00F3391B" w:rsidP="000F78F1">
      <w:pPr>
        <w:spacing w:after="0"/>
      </w:pPr>
      <w:r>
        <w:t>It should be noted that</w:t>
      </w:r>
      <w:r w:rsidR="000F78F1" w:rsidRPr="00476391">
        <w:t xml:space="preserve"> </w:t>
      </w:r>
      <w:r w:rsidR="003A1A7B">
        <w:t>the</w:t>
      </w:r>
      <w:r w:rsidR="000F78F1" w:rsidRPr="00476391">
        <w:t xml:space="preserve"> cost predictions include the costs </w:t>
      </w:r>
      <w:r w:rsidR="00855BE7">
        <w:t xml:space="preserve">the county council has </w:t>
      </w:r>
      <w:r w:rsidR="000F78F1" w:rsidRPr="00476391">
        <w:t xml:space="preserve">incurred to date </w:t>
      </w:r>
      <w:r w:rsidR="00476391" w:rsidRPr="00476391">
        <w:t>up to November</w:t>
      </w:r>
      <w:r w:rsidR="000F78F1" w:rsidRPr="00476391">
        <w:t xml:space="preserve">, however </w:t>
      </w:r>
      <w:r w:rsidR="00476391" w:rsidRPr="00476391">
        <w:t>data</w:t>
      </w:r>
      <w:r w:rsidR="00C8714A">
        <w:t xml:space="preserve"> is awaited</w:t>
      </w:r>
      <w:r w:rsidR="00476391" w:rsidRPr="00476391">
        <w:t xml:space="preserve"> and activity over the high demand</w:t>
      </w:r>
      <w:r w:rsidR="000F78F1" w:rsidRPr="00476391">
        <w:t xml:space="preserve"> winter period when referral levels can be higher due to seasonal issues exacerbating pre-existing conditions in </w:t>
      </w:r>
      <w:r w:rsidR="00806D9B">
        <w:t xml:space="preserve">the </w:t>
      </w:r>
      <w:r w:rsidR="000F78F1" w:rsidRPr="00476391">
        <w:t xml:space="preserve">most vulnerable residents and often influenced by the response of the NHS, mainly hospitals. </w:t>
      </w:r>
    </w:p>
    <w:p w14:paraId="2AB093C7" w14:textId="77777777" w:rsidR="00341D99" w:rsidRDefault="00341D99" w:rsidP="000F78F1">
      <w:pPr>
        <w:spacing w:after="0"/>
      </w:pPr>
    </w:p>
    <w:p w14:paraId="5A5692C7" w14:textId="2C03BB03" w:rsidR="00341D99" w:rsidRPr="00476391" w:rsidRDefault="00470EFA" w:rsidP="000F78F1">
      <w:pPr>
        <w:spacing w:after="0"/>
      </w:pPr>
      <w:r w:rsidRPr="00470EFA">
        <w:t xml:space="preserve">As widely reported, this winter period has so far been particularly pressured for health and care services and there have been inevitable knock on pressures felt across adult services as part of our response. Additional monies have been made available by government but with </w:t>
      </w:r>
      <w:proofErr w:type="gramStart"/>
      <w:r w:rsidRPr="00470EFA">
        <w:t>fairly limited</w:t>
      </w:r>
      <w:proofErr w:type="gramEnd"/>
      <w:r w:rsidRPr="00470EFA">
        <w:t xml:space="preserve"> use, in the main for supporting hospital discharges through residential settings. This, in most instances, would not be the preferred discharge route an</w:t>
      </w:r>
      <w:r w:rsidR="00F96AD0">
        <w:t>d the county council has</w:t>
      </w:r>
      <w:r w:rsidRPr="00470EFA">
        <w:t xml:space="preserve"> been working closely with the NHS locally to utilise the additional funding in the most effective way. </w:t>
      </w:r>
    </w:p>
    <w:p w14:paraId="61FCF307" w14:textId="77777777" w:rsidR="000F78F1" w:rsidRPr="00C75BA1" w:rsidRDefault="000F78F1" w:rsidP="000F78F1">
      <w:pPr>
        <w:spacing w:after="0"/>
        <w:rPr>
          <w:highlight w:val="yellow"/>
        </w:rPr>
      </w:pPr>
    </w:p>
    <w:p w14:paraId="64E73604" w14:textId="74A722B8" w:rsidR="00785546" w:rsidRDefault="000F78F1" w:rsidP="000F78F1">
      <w:pPr>
        <w:spacing w:after="0"/>
      </w:pPr>
      <w:r w:rsidRPr="00476391">
        <w:t xml:space="preserve">There are </w:t>
      </w:r>
      <w:proofErr w:type="gramStart"/>
      <w:r w:rsidRPr="00476391">
        <w:t>a number of</w:t>
      </w:r>
      <w:proofErr w:type="gramEnd"/>
      <w:r w:rsidRPr="00476391">
        <w:t xml:space="preserve"> factors driving the costs within adult social care, some within </w:t>
      </w:r>
      <w:r w:rsidR="004E6BAE">
        <w:t xml:space="preserve">the county council's </w:t>
      </w:r>
      <w:r w:rsidRPr="00476391">
        <w:t xml:space="preserve">ability to control and some now starting to impact which are increasingly more difficult to influence. As noted below, staffing shortages due to recruitment and retention difficulties and high sickness levels across all services increases the reliance on agency workers and results in higher overall costs. </w:t>
      </w:r>
      <w:r w:rsidR="00785546">
        <w:t xml:space="preserve">Staffing shortages within in house residential services for example require cover, which in the </w:t>
      </w:r>
      <w:r w:rsidR="00785546">
        <w:lastRenderedPageBreak/>
        <w:t xml:space="preserve">main is provided through agencies, where costs are higher.  Some teams such our hospital teams have vacancies in the order of 30% due to high turnover rates associated with such high pressure services.  </w:t>
      </w:r>
    </w:p>
    <w:p w14:paraId="557CDD2E" w14:textId="77777777" w:rsidR="00785546" w:rsidRDefault="00785546" w:rsidP="000F78F1">
      <w:pPr>
        <w:spacing w:after="0"/>
      </w:pPr>
    </w:p>
    <w:p w14:paraId="400448CE" w14:textId="56127F28" w:rsidR="000F78F1" w:rsidRPr="00C75BA1" w:rsidRDefault="00476391" w:rsidP="000F78F1">
      <w:pPr>
        <w:spacing w:after="0"/>
        <w:rPr>
          <w:highlight w:val="yellow"/>
        </w:rPr>
      </w:pPr>
      <w:r w:rsidRPr="00476391">
        <w:t>During 2022/23</w:t>
      </w:r>
      <w:r w:rsidR="000F78F1" w:rsidRPr="00476391">
        <w:t xml:space="preserve"> a directorate Workforce Strategy</w:t>
      </w:r>
      <w:r w:rsidRPr="00476391">
        <w:t xml:space="preserve"> has been agreed and </w:t>
      </w:r>
      <w:r w:rsidR="00612501">
        <w:t xml:space="preserve">as it is </w:t>
      </w:r>
      <w:r w:rsidRPr="00476391">
        <w:t>implemented</w:t>
      </w:r>
      <w:r w:rsidR="000F78F1" w:rsidRPr="00476391">
        <w:t xml:space="preserve"> will start to address such issues.  In some service areas</w:t>
      </w:r>
      <w:r w:rsidR="00293105">
        <w:t>, such as homecare,</w:t>
      </w:r>
      <w:r w:rsidR="000F78F1" w:rsidRPr="00476391">
        <w:t xml:space="preserve"> framework providers</w:t>
      </w:r>
      <w:r w:rsidR="004668E5">
        <w:t xml:space="preserve"> have not been able to be used</w:t>
      </w:r>
      <w:r w:rsidR="000F78F1" w:rsidRPr="00476391">
        <w:t xml:space="preserve">, again mainly due to staffing pressures, which again increases costs as off framework providers </w:t>
      </w:r>
      <w:r w:rsidR="006B3218">
        <w:t xml:space="preserve">are used </w:t>
      </w:r>
      <w:r w:rsidR="000F78F1" w:rsidRPr="00476391">
        <w:t xml:space="preserve">which are at higher cost. </w:t>
      </w:r>
      <w:r w:rsidR="00FE14E7">
        <w:t>The county council is</w:t>
      </w:r>
      <w:r w:rsidR="000F78F1" w:rsidRPr="00476391">
        <w:t xml:space="preserve"> embarking on a significant re-procurement exercise for </w:t>
      </w:r>
      <w:r w:rsidR="00D058CE">
        <w:t>the</w:t>
      </w:r>
      <w:r w:rsidR="000F78F1" w:rsidRPr="00476391">
        <w:t xml:space="preserve"> homecare framework and will be seeking to address this.  General price and cost of living pressures are impacting on many of </w:t>
      </w:r>
      <w:r w:rsidR="00895730">
        <w:t xml:space="preserve">the council's </w:t>
      </w:r>
      <w:r w:rsidR="00895730" w:rsidRPr="00476391">
        <w:t>providers</w:t>
      </w:r>
      <w:r w:rsidR="000F78F1" w:rsidRPr="00476391">
        <w:t xml:space="preserve">.  The Cost of Care (see below) exercise may address some of these </w:t>
      </w:r>
      <w:proofErr w:type="gramStart"/>
      <w:r w:rsidR="000F78F1" w:rsidRPr="00476391">
        <w:t>issues</w:t>
      </w:r>
      <w:r w:rsidR="00FC4A28">
        <w:t>,</w:t>
      </w:r>
      <w:r w:rsidR="000F78F1" w:rsidRPr="00476391">
        <w:t xml:space="preserve"> but</w:t>
      </w:r>
      <w:proofErr w:type="gramEnd"/>
      <w:r w:rsidR="000F78F1" w:rsidRPr="00476391">
        <w:t xml:space="preserve"> depending on the level of government grant funding this could further add to overall cost pressures. </w:t>
      </w:r>
    </w:p>
    <w:p w14:paraId="7F69EAF0" w14:textId="77777777" w:rsidR="000F78F1" w:rsidRPr="00C75BA1" w:rsidRDefault="000F78F1" w:rsidP="000F78F1">
      <w:pPr>
        <w:spacing w:after="0"/>
        <w:rPr>
          <w:highlight w:val="yellow"/>
        </w:rPr>
      </w:pPr>
    </w:p>
    <w:p w14:paraId="1D66ECCE" w14:textId="77777777" w:rsidR="000F78F1" w:rsidRPr="00C022E0" w:rsidRDefault="000F78F1" w:rsidP="000F78F1">
      <w:pPr>
        <w:spacing w:after="0"/>
        <w:rPr>
          <w:b/>
          <w:bCs/>
        </w:rPr>
      </w:pPr>
      <w:r w:rsidRPr="00C022E0">
        <w:rPr>
          <w:b/>
          <w:bCs/>
        </w:rPr>
        <w:t>Savings progress</w:t>
      </w:r>
    </w:p>
    <w:p w14:paraId="109758CE" w14:textId="77170426" w:rsidR="000F78F1" w:rsidRPr="00C022E0" w:rsidRDefault="000F78F1" w:rsidP="000F78F1">
      <w:pPr>
        <w:spacing w:after="0"/>
      </w:pPr>
      <w:r w:rsidRPr="00C022E0">
        <w:t xml:space="preserve">Controllable costs include the delivery of pre-existing savings which have been unavoidably delayed due to the prioritisation of the </w:t>
      </w:r>
      <w:r w:rsidR="0082471E" w:rsidRPr="00C022E0">
        <w:t>D</w:t>
      </w:r>
      <w:r w:rsidRPr="00C022E0">
        <w:t xml:space="preserve">irectorate's response to </w:t>
      </w:r>
      <w:r w:rsidR="002F6C9B">
        <w:t>COVID-19</w:t>
      </w:r>
      <w:r w:rsidR="004C2149">
        <w:t>,</w:t>
      </w:r>
      <w:r w:rsidRPr="00C022E0">
        <w:t xml:space="preserve"> of which there are still ongoing issues</w:t>
      </w:r>
      <w:r w:rsidR="00635A37">
        <w:t>.</w:t>
      </w:r>
      <w:r w:rsidRPr="00C022E0">
        <w:t xml:space="preserve"> The Directorate has a governance framework in place to ensure rigour and grip </w:t>
      </w:r>
      <w:r w:rsidR="00AA7F2A" w:rsidRPr="00C022E0">
        <w:t>of</w:t>
      </w:r>
      <w:r w:rsidRPr="00C022E0">
        <w:t xml:space="preserve"> the delivery of the £17m savings outstanding with £10.9m due to be delivered within this financial year. In some instances, COVID-19 has exposed changes that are now required to some of the previously agreed </w:t>
      </w:r>
      <w:proofErr w:type="gramStart"/>
      <w:r w:rsidRPr="00C022E0">
        <w:t>savings</w:t>
      </w:r>
      <w:proofErr w:type="gramEnd"/>
      <w:r w:rsidRPr="00C022E0">
        <w:t xml:space="preserve"> programme to ensure that adult services can deliver to its original target. </w:t>
      </w:r>
    </w:p>
    <w:p w14:paraId="193692A2" w14:textId="77777777" w:rsidR="000F78F1" w:rsidRPr="00C022E0" w:rsidRDefault="000F78F1" w:rsidP="000F78F1">
      <w:pPr>
        <w:spacing w:after="0"/>
      </w:pPr>
    </w:p>
    <w:p w14:paraId="5DA40261" w14:textId="64E50079" w:rsidR="000F78F1" w:rsidRPr="00C022E0" w:rsidRDefault="000F78F1" w:rsidP="000F78F1">
      <w:pPr>
        <w:spacing w:after="0"/>
      </w:pPr>
      <w:r w:rsidRPr="00C022E0">
        <w:t xml:space="preserve">Through reviewing service budgets and processes the service has put forward c£50m of additional savings to be delivered from 2023/24, subject to approval at Full Council in February. The savings have been identified and will be delivered against a background of challenge for the service of growing needs of an ageing and increasingly disabled (physical and emotional) adult population as identified by </w:t>
      </w:r>
      <w:r w:rsidR="00C25938">
        <w:t>the</w:t>
      </w:r>
      <w:r w:rsidRPr="00C022E0">
        <w:t xml:space="preserve"> Director of Public Health in his annual report and the precarious nature of the care market. </w:t>
      </w:r>
    </w:p>
    <w:p w14:paraId="77FC1F8C" w14:textId="77777777" w:rsidR="000F78F1" w:rsidRPr="00C75BA1" w:rsidRDefault="000F78F1" w:rsidP="000F78F1">
      <w:pPr>
        <w:spacing w:after="0"/>
        <w:rPr>
          <w:highlight w:val="yellow"/>
        </w:rPr>
      </w:pPr>
    </w:p>
    <w:p w14:paraId="1E5335AC" w14:textId="77777777" w:rsidR="000F78F1" w:rsidRPr="00C022E0" w:rsidRDefault="000F78F1" w:rsidP="000F78F1">
      <w:pPr>
        <w:spacing w:after="0"/>
        <w:rPr>
          <w:b/>
          <w:bCs/>
        </w:rPr>
      </w:pPr>
      <w:r w:rsidRPr="00C022E0">
        <w:rPr>
          <w:b/>
          <w:bCs/>
        </w:rPr>
        <w:t>Pressure areas</w:t>
      </w:r>
    </w:p>
    <w:p w14:paraId="783E305F" w14:textId="4A8811D9" w:rsidR="000E4EEE" w:rsidRDefault="000F78F1" w:rsidP="000F78F1">
      <w:pPr>
        <w:spacing w:after="0"/>
      </w:pPr>
      <w:r w:rsidRPr="00C022E0">
        <w:t xml:space="preserve">Other controllable costs include the spend associated with </w:t>
      </w:r>
      <w:r w:rsidR="00225439">
        <w:t>the</w:t>
      </w:r>
      <w:r w:rsidRPr="00C022E0">
        <w:t xml:space="preserve"> response to adults approaching the council for advice and support. Benchmarking data continues to show that when compared to other similar authorities</w:t>
      </w:r>
      <w:r w:rsidR="00FC1CBC">
        <w:t>,</w:t>
      </w:r>
      <w:r w:rsidRPr="00C022E0">
        <w:t xml:space="preserve"> </w:t>
      </w:r>
      <w:r w:rsidR="00FC1CBC">
        <w:t xml:space="preserve">although </w:t>
      </w:r>
      <w:r w:rsidR="00BE19F9">
        <w:t>the county council</w:t>
      </w:r>
      <w:r w:rsidR="000025E3">
        <w:t xml:space="preserve"> is</w:t>
      </w:r>
      <w:r w:rsidR="00FC1CBC">
        <w:t xml:space="preserve"> not approached by proportionately more people, of those who do </w:t>
      </w:r>
      <w:r w:rsidR="000025E3">
        <w:t>come forward,</w:t>
      </w:r>
      <w:r w:rsidR="00FC1CBC">
        <w:t xml:space="preserve"> </w:t>
      </w:r>
      <w:r w:rsidR="000025E3">
        <w:t xml:space="preserve">the county council continues to </w:t>
      </w:r>
      <w:r w:rsidR="00333BCE">
        <w:t xml:space="preserve">'draw in' </w:t>
      </w:r>
      <w:r w:rsidRPr="00C022E0">
        <w:t>a larger proportion of people</w:t>
      </w:r>
      <w:r w:rsidR="001106C4">
        <w:t>,</w:t>
      </w:r>
      <w:r w:rsidRPr="00C022E0">
        <w:t xml:space="preserve"> and </w:t>
      </w:r>
      <w:r w:rsidR="001106C4">
        <w:t xml:space="preserve">then go on to give them proportionately more formal </w:t>
      </w:r>
      <w:r w:rsidR="001106C4" w:rsidRPr="00C022E0">
        <w:t>packages of care</w:t>
      </w:r>
      <w:r w:rsidRPr="00C022E0">
        <w:t xml:space="preserve">. Authorities that perform better typically have a stronger preventative offer and make greater use of community provision as an alternative to formal packages of care.  This has a benefit for the </w:t>
      </w:r>
      <w:r w:rsidR="00AA19AC">
        <w:t>individual</w:t>
      </w:r>
      <w:r w:rsidRPr="00C022E0">
        <w:t xml:space="preserve"> as they can make better use of services based close to where they live, improving their ability to live independently at home, and reduces costs for the </w:t>
      </w:r>
      <w:r w:rsidR="00212AC0">
        <w:t>c</w:t>
      </w:r>
      <w:r w:rsidR="00212AC0" w:rsidRPr="00C022E0">
        <w:t xml:space="preserve">ouncil </w:t>
      </w:r>
      <w:r w:rsidRPr="00C022E0">
        <w:t>as community based provision tends to be less costly than formal care.</w:t>
      </w:r>
    </w:p>
    <w:p w14:paraId="2104FC8F" w14:textId="77777777" w:rsidR="000E4EEE" w:rsidRDefault="000E4EEE" w:rsidP="000F78F1">
      <w:pPr>
        <w:spacing w:after="0"/>
      </w:pPr>
    </w:p>
    <w:p w14:paraId="793ECC0A" w14:textId="63DE0602" w:rsidR="000F78F1" w:rsidRPr="00C022E0" w:rsidRDefault="000F78F1" w:rsidP="000F78F1">
      <w:pPr>
        <w:spacing w:after="0"/>
      </w:pPr>
      <w:r w:rsidRPr="00C022E0">
        <w:t xml:space="preserve">The directorate had already agreed to progress a programme of change to bring </w:t>
      </w:r>
      <w:r w:rsidR="00A86298">
        <w:t>the county council</w:t>
      </w:r>
      <w:r w:rsidRPr="00C022E0">
        <w:t xml:space="preserve"> closer to some of what other councils have done on this, underpinned by a strengths-based practice approach. Unfortunately, this had been delayed due to COVID-19 but is now recommencing with closer monitoring. A key component of the </w:t>
      </w:r>
      <w:r w:rsidRPr="00C022E0">
        <w:lastRenderedPageBreak/>
        <w:t>change is to increase the uptake in direct payments as this affords the public a greater level of choice and control of how they manage and receive care.</w:t>
      </w:r>
    </w:p>
    <w:p w14:paraId="7926A38D" w14:textId="77777777" w:rsidR="000F78F1" w:rsidRPr="00C022E0" w:rsidRDefault="000F78F1" w:rsidP="000F78F1">
      <w:pPr>
        <w:spacing w:after="0"/>
      </w:pPr>
    </w:p>
    <w:p w14:paraId="5A5D453E" w14:textId="77777777" w:rsidR="000F78F1" w:rsidRPr="00C022E0" w:rsidRDefault="000F78F1" w:rsidP="000F78F1">
      <w:pPr>
        <w:spacing w:after="0"/>
        <w:rPr>
          <w:b/>
          <w:bCs/>
        </w:rPr>
      </w:pPr>
      <w:r w:rsidRPr="00C022E0">
        <w:rPr>
          <w:b/>
          <w:bCs/>
        </w:rPr>
        <w:t xml:space="preserve">Legislative Changes </w:t>
      </w:r>
    </w:p>
    <w:p w14:paraId="47364074" w14:textId="0B5D0E00" w:rsidR="000F78F1" w:rsidRPr="00C022E0" w:rsidRDefault="000F78F1" w:rsidP="000F78F1">
      <w:pPr>
        <w:spacing w:after="0"/>
      </w:pPr>
      <w:r w:rsidRPr="00C022E0">
        <w:t xml:space="preserve">Issues impacting on the budget which are increasingly difficult to control/manage include the Fair Cost of Care, an exercise all authorities are required to complete in readiness for social care reform in 2023. </w:t>
      </w:r>
      <w:r w:rsidR="006F4530" w:rsidRPr="006F4530">
        <w:t xml:space="preserve">Many of the reforms are now delayed until </w:t>
      </w:r>
      <w:r w:rsidR="0016239A" w:rsidRPr="006F4530">
        <w:t>in</w:t>
      </w:r>
      <w:r w:rsidR="006F4530" w:rsidRPr="006F4530">
        <w:t xml:space="preserve"> 2025</w:t>
      </w:r>
      <w:r w:rsidR="005141A6">
        <w:t>/26</w:t>
      </w:r>
      <w:r w:rsidR="006F4530" w:rsidRPr="006F4530">
        <w:t xml:space="preserve"> however the Fair Cost of Care exercise has been used to inform </w:t>
      </w:r>
      <w:r w:rsidR="00BC0E3F">
        <w:t>the</w:t>
      </w:r>
      <w:r w:rsidR="006F4530" w:rsidRPr="006F4530">
        <w:t xml:space="preserve"> </w:t>
      </w:r>
      <w:r w:rsidR="00DA74EE">
        <w:t xml:space="preserve">provider </w:t>
      </w:r>
      <w:r w:rsidR="006F4530" w:rsidRPr="006F4530">
        <w:t>fee increases</w:t>
      </w:r>
      <w:r w:rsidR="00DA74EE">
        <w:t xml:space="preserve"> for 2023/24</w:t>
      </w:r>
      <w:r w:rsidR="006F4530" w:rsidRPr="006F4530">
        <w:t xml:space="preserve">, which will be presented to Cabinet in </w:t>
      </w:r>
      <w:r w:rsidR="006F4530">
        <w:t>February</w:t>
      </w:r>
      <w:r w:rsidR="0068465A">
        <w:t>.</w:t>
      </w:r>
      <w:r w:rsidR="006F4530" w:rsidRPr="006F4530">
        <w:t xml:space="preserve"> </w:t>
      </w:r>
      <w:r w:rsidR="00B840F4" w:rsidRPr="00B840F4">
        <w:t>Authorities will be required to publish the results of their Fair Cost of Care exercises, and this is highly likely to illustrate that most councils are not always able to fund to a level acceptable to the care market, thereby impeding market sustainability.</w:t>
      </w:r>
      <w:r w:rsidR="00B840F4">
        <w:t xml:space="preserve"> </w:t>
      </w:r>
      <w:r w:rsidR="00083A2C">
        <w:t>The county council</w:t>
      </w:r>
      <w:r w:rsidR="001E6E2C">
        <w:t xml:space="preserve"> has </w:t>
      </w:r>
      <w:r w:rsidR="006F4530" w:rsidRPr="006F4530">
        <w:t xml:space="preserve">assumed that the funding provided from government will cover the extra cost pressures associated with increasing the prices </w:t>
      </w:r>
      <w:r w:rsidR="001E6E2C">
        <w:t>paid</w:t>
      </w:r>
      <w:r w:rsidR="006F4530" w:rsidRPr="006F4530">
        <w:t xml:space="preserve"> to our providers</w:t>
      </w:r>
      <w:r w:rsidR="005141A6">
        <w:t xml:space="preserve"> </w:t>
      </w:r>
      <w:r w:rsidR="006F4530" w:rsidRPr="006F4530">
        <w:t xml:space="preserve">associated with the </w:t>
      </w:r>
      <w:r w:rsidR="0068465A">
        <w:t>social care reforms.</w:t>
      </w:r>
      <w:r w:rsidR="006F4530" w:rsidRPr="0068465A">
        <w:t xml:space="preserve"> </w:t>
      </w:r>
    </w:p>
    <w:p w14:paraId="07536F52" w14:textId="77777777" w:rsidR="000F78F1" w:rsidRPr="00C022E0" w:rsidRDefault="000F78F1" w:rsidP="000F78F1">
      <w:pPr>
        <w:spacing w:after="0"/>
      </w:pPr>
    </w:p>
    <w:p w14:paraId="26E253B7" w14:textId="77777777" w:rsidR="000F78F1" w:rsidRPr="00C022E0" w:rsidRDefault="000F78F1" w:rsidP="000F78F1">
      <w:pPr>
        <w:rPr>
          <w:b/>
          <w:bCs/>
        </w:rPr>
      </w:pPr>
      <w:r w:rsidRPr="00C022E0">
        <w:rPr>
          <w:b/>
          <w:bCs/>
        </w:rPr>
        <w:t xml:space="preserve">Older People services </w:t>
      </w:r>
    </w:p>
    <w:p w14:paraId="6613778C" w14:textId="48EC581E" w:rsidR="009D3B09" w:rsidRDefault="000F78F1" w:rsidP="000F78F1">
      <w:pPr>
        <w:spacing w:after="0"/>
      </w:pPr>
      <w:r w:rsidRPr="00C022E0">
        <w:t>The council continues to experience challenge in securing care in some parts of the county due to rurality for example</w:t>
      </w:r>
      <w:r w:rsidR="00A0529B">
        <w:t>,</w:t>
      </w:r>
      <w:r w:rsidRPr="00C022E0">
        <w:t xml:space="preserve"> and some types of care i.e., nursing home provision for elderly mentally ill.</w:t>
      </w:r>
      <w:r w:rsidR="00F170DD">
        <w:t xml:space="preserve"> </w:t>
      </w:r>
      <w:r w:rsidR="00BB2211">
        <w:t>The county council</w:t>
      </w:r>
      <w:r w:rsidR="00F170DD" w:rsidRPr="00953343">
        <w:t xml:space="preserve"> are trialling, with the NHS, the use of some of our in house provider care home beds for elderly mentally ill people and whilst numbers are still quite modest the outcomes for the individuals are better and cost savings have been identified. This is enabling people to return from high cost out of area placements and long stay institutional settings which is beneficial to the person and reduces cost. Our Director of Health and Care for Lancashire intends to progress this through the Integrated Care Board.  </w:t>
      </w:r>
    </w:p>
    <w:p w14:paraId="4C4332B6" w14:textId="77777777" w:rsidR="009D3B09" w:rsidRDefault="009D3B09" w:rsidP="000F78F1">
      <w:pPr>
        <w:spacing w:after="0"/>
      </w:pPr>
    </w:p>
    <w:p w14:paraId="53B24C6D" w14:textId="2117F85F" w:rsidR="000F78F1" w:rsidRPr="00C022E0" w:rsidRDefault="00F170DD" w:rsidP="000F78F1">
      <w:pPr>
        <w:spacing w:after="0"/>
      </w:pPr>
      <w:r>
        <w:t>B</w:t>
      </w:r>
      <w:r w:rsidR="000F78F1" w:rsidRPr="00C022E0">
        <w:t xml:space="preserve">udget pressures </w:t>
      </w:r>
      <w:r>
        <w:t>continue to be</w:t>
      </w:r>
      <w:r w:rsidR="000F78F1" w:rsidRPr="00C022E0">
        <w:t xml:space="preserve"> experienced primarily in the cost of home care for all adults including older people and those with mental health or learning disability. </w:t>
      </w:r>
      <w:r w:rsidR="00937B55">
        <w:t>The county council is</w:t>
      </w:r>
      <w:r w:rsidR="000F78F1" w:rsidRPr="00C022E0">
        <w:t xml:space="preserve"> also being approached to meet the increasing costs from providers arising due to increases in fuel and energy costs and </w:t>
      </w:r>
      <w:r w:rsidR="00127DCB">
        <w:t>are</w:t>
      </w:r>
      <w:r w:rsidR="000F78F1" w:rsidRPr="00C022E0">
        <w:t xml:space="preserve"> under considerable pressure from the market to provide additional financial support. In some instances, due to staffing problems and cost pressures</w:t>
      </w:r>
      <w:r w:rsidR="006A7398">
        <w:t>,</w:t>
      </w:r>
      <w:r w:rsidR="000F78F1" w:rsidRPr="00C022E0">
        <w:t xml:space="preserve"> homecare providers are declining business resulting in </w:t>
      </w:r>
      <w:r w:rsidR="00C67454">
        <w:t>a</w:t>
      </w:r>
      <w:r w:rsidR="000F78F1" w:rsidRPr="00C022E0">
        <w:t xml:space="preserve"> reliance on non-framework higher cost provision. </w:t>
      </w:r>
    </w:p>
    <w:p w14:paraId="7A2ACD3B" w14:textId="77777777" w:rsidR="000F78F1" w:rsidRPr="00C75BA1" w:rsidRDefault="000F78F1" w:rsidP="000F78F1">
      <w:pPr>
        <w:spacing w:after="0"/>
        <w:rPr>
          <w:highlight w:val="yellow"/>
        </w:rPr>
      </w:pPr>
    </w:p>
    <w:p w14:paraId="57105641" w14:textId="77777777" w:rsidR="000F78F1" w:rsidRPr="00C022E0" w:rsidRDefault="000F78F1" w:rsidP="000F78F1">
      <w:pPr>
        <w:spacing w:after="0"/>
        <w:rPr>
          <w:b/>
          <w:bCs/>
        </w:rPr>
      </w:pPr>
      <w:r w:rsidRPr="00C022E0">
        <w:rPr>
          <w:b/>
          <w:bCs/>
        </w:rPr>
        <w:t>Younger Adults specific needs groups</w:t>
      </w:r>
    </w:p>
    <w:p w14:paraId="28C9E557" w14:textId="58ECFE17" w:rsidR="000F78F1" w:rsidRPr="00C022E0" w:rsidRDefault="000F78F1" w:rsidP="000F78F1">
      <w:pPr>
        <w:spacing w:after="0"/>
        <w:rPr>
          <w:rFonts w:cs="Arial"/>
        </w:rPr>
      </w:pPr>
      <w:r w:rsidRPr="00C022E0">
        <w:rPr>
          <w:rFonts w:cs="Arial"/>
        </w:rPr>
        <w:t xml:space="preserve">The directorate is also facing significant increases in the numbers of young adults now transferring from children services with forecast costs </w:t>
      </w:r>
      <w:r w:rsidRPr="009A2633">
        <w:rPr>
          <w:rFonts w:cs="Arial"/>
        </w:rPr>
        <w:t>£1.</w:t>
      </w:r>
      <w:r w:rsidR="009A2633" w:rsidRPr="009A2633">
        <w:rPr>
          <w:rFonts w:cs="Arial"/>
        </w:rPr>
        <w:t>5</w:t>
      </w:r>
      <w:r w:rsidRPr="009A2633">
        <w:rPr>
          <w:rFonts w:cs="Arial"/>
        </w:rPr>
        <w:t xml:space="preserve">m </w:t>
      </w:r>
      <w:r w:rsidRPr="00C022E0">
        <w:rPr>
          <w:rFonts w:cs="Arial"/>
        </w:rPr>
        <w:t xml:space="preserve">over budget at this stage and will in almost all circumstances be lifelong. </w:t>
      </w:r>
      <w:r w:rsidR="008D7CA8">
        <w:rPr>
          <w:rFonts w:cs="Arial"/>
        </w:rPr>
        <w:t>More</w:t>
      </w:r>
      <w:r w:rsidRPr="00C022E0">
        <w:rPr>
          <w:rFonts w:cs="Arial"/>
        </w:rPr>
        <w:t xml:space="preserve"> detailed analysis is required and requires a step change in the way the </w:t>
      </w:r>
      <w:r w:rsidR="00024203">
        <w:rPr>
          <w:rFonts w:cs="Arial"/>
        </w:rPr>
        <w:t>two</w:t>
      </w:r>
      <w:r w:rsidRPr="00C022E0">
        <w:rPr>
          <w:rFonts w:cs="Arial"/>
        </w:rPr>
        <w:t xml:space="preserve"> directorates work together and with families and young people. There are increasing cost pressures within Children's services which are now impacting on Adult's services as the young people attain the age of 18 to 25 and transition over. This area has been included within the saving proposals put forward by the Directorate and includes additional staff within Adult</w:t>
      </w:r>
      <w:r w:rsidR="00DB488E">
        <w:rPr>
          <w:rFonts w:cs="Arial"/>
        </w:rPr>
        <w:t>'s</w:t>
      </w:r>
      <w:r w:rsidRPr="00C022E0">
        <w:rPr>
          <w:rFonts w:cs="Arial"/>
        </w:rPr>
        <w:t xml:space="preserve"> services who can work with young people and their families well in advance of the young person turning 18 to plan, source, or develop with the market, the right care in the right place, to be ready at the right time.</w:t>
      </w:r>
    </w:p>
    <w:p w14:paraId="646FF965" w14:textId="77777777" w:rsidR="000F78F1" w:rsidRDefault="000F78F1" w:rsidP="000F78F1">
      <w:pPr>
        <w:spacing w:after="0"/>
        <w:rPr>
          <w:rFonts w:cs="Arial"/>
          <w:color w:val="auto"/>
        </w:rPr>
      </w:pPr>
    </w:p>
    <w:p w14:paraId="7DC20B99" w14:textId="77777777" w:rsidR="00FF25D3" w:rsidRDefault="00FF25D3" w:rsidP="000F78F1">
      <w:pPr>
        <w:spacing w:after="0"/>
        <w:rPr>
          <w:rFonts w:cs="Arial"/>
          <w:color w:val="auto"/>
        </w:rPr>
      </w:pPr>
    </w:p>
    <w:p w14:paraId="02C2970B" w14:textId="77777777" w:rsidR="00FF25D3" w:rsidRPr="00C022E0" w:rsidRDefault="00FF25D3" w:rsidP="000F78F1">
      <w:pPr>
        <w:spacing w:after="0"/>
        <w:rPr>
          <w:rFonts w:cs="Arial"/>
          <w:color w:val="auto"/>
        </w:rPr>
      </w:pPr>
    </w:p>
    <w:p w14:paraId="36BF79C6" w14:textId="77777777" w:rsidR="000F78F1" w:rsidRPr="00C022E0" w:rsidRDefault="000F78F1" w:rsidP="000F78F1">
      <w:pPr>
        <w:spacing w:after="0"/>
        <w:rPr>
          <w:rFonts w:cs="Arial"/>
          <w:b/>
          <w:bCs/>
          <w:color w:val="auto"/>
        </w:rPr>
      </w:pPr>
      <w:r w:rsidRPr="00C022E0">
        <w:rPr>
          <w:rFonts w:cs="Arial"/>
          <w:b/>
          <w:bCs/>
          <w:color w:val="auto"/>
        </w:rPr>
        <w:lastRenderedPageBreak/>
        <w:t>In-House provision</w:t>
      </w:r>
    </w:p>
    <w:p w14:paraId="6AAF71DA" w14:textId="77777777" w:rsidR="000F78F1" w:rsidRPr="00C022E0" w:rsidRDefault="000F78F1" w:rsidP="000F78F1">
      <w:pPr>
        <w:spacing w:after="0"/>
        <w:rPr>
          <w:rFonts w:cs="Arial"/>
          <w:b/>
          <w:bCs/>
          <w:color w:val="auto"/>
        </w:rPr>
      </w:pPr>
      <w:r w:rsidRPr="00C022E0">
        <w:rPr>
          <w:rFonts w:cs="Arial"/>
          <w:color w:val="auto"/>
        </w:rPr>
        <w:t xml:space="preserve">The largest pressures that are forecast across the Directorate relate to in-house services, and most noticeably in the older peoples care homes. There are </w:t>
      </w:r>
      <w:proofErr w:type="gramStart"/>
      <w:r w:rsidRPr="00C022E0">
        <w:rPr>
          <w:rFonts w:cs="Arial"/>
          <w:color w:val="auto"/>
        </w:rPr>
        <w:t>particular pressures</w:t>
      </w:r>
      <w:proofErr w:type="gramEnd"/>
      <w:r w:rsidRPr="00C022E0">
        <w:rPr>
          <w:rFonts w:cs="Arial"/>
          <w:color w:val="auto"/>
        </w:rPr>
        <w:t xml:space="preserve"> in relation to staff costs, both in terms of the pay award (£3.9m) and also the necessity to employ agency workers to cover for staff absence. In addition, occupancy levels have not recovered post-</w:t>
      </w:r>
      <w:proofErr w:type="gramStart"/>
      <w:r w:rsidRPr="00C022E0">
        <w:rPr>
          <w:rFonts w:cs="Arial"/>
          <w:color w:val="auto"/>
        </w:rPr>
        <w:t>pandemic</w:t>
      </w:r>
      <w:proofErr w:type="gramEnd"/>
      <w:r w:rsidRPr="00C022E0">
        <w:rPr>
          <w:rFonts w:cs="Arial"/>
          <w:color w:val="auto"/>
        </w:rPr>
        <w:t xml:space="preserve"> and this is having a detrimental impact on income levels forecast to be achieved by the service (£2.5m).  </w:t>
      </w:r>
    </w:p>
    <w:p w14:paraId="67AF98A0" w14:textId="77777777" w:rsidR="000F78F1" w:rsidRPr="00C022E0" w:rsidRDefault="000F78F1" w:rsidP="000F78F1">
      <w:pPr>
        <w:spacing w:after="0"/>
        <w:rPr>
          <w:rFonts w:cs="Arial"/>
        </w:rPr>
      </w:pPr>
    </w:p>
    <w:p w14:paraId="567F298F" w14:textId="77777777" w:rsidR="000F78F1" w:rsidRPr="00C022E0" w:rsidRDefault="000F78F1" w:rsidP="000F78F1">
      <w:pPr>
        <w:spacing w:after="0"/>
        <w:rPr>
          <w:rFonts w:cs="Arial"/>
        </w:rPr>
      </w:pPr>
      <w:r w:rsidRPr="00C022E0">
        <w:rPr>
          <w:rFonts w:cs="Arial"/>
          <w:b/>
          <w:bCs/>
        </w:rPr>
        <w:t>Income generation</w:t>
      </w:r>
    </w:p>
    <w:p w14:paraId="676A4151" w14:textId="16E1AAB7" w:rsidR="000F78F1" w:rsidRPr="00C022E0" w:rsidRDefault="000F78F1" w:rsidP="000F78F1">
      <w:pPr>
        <w:spacing w:after="0"/>
        <w:rPr>
          <w:rFonts w:cs="Arial"/>
        </w:rPr>
      </w:pPr>
      <w:r w:rsidRPr="00C022E0">
        <w:rPr>
          <w:rFonts w:cs="Arial"/>
        </w:rPr>
        <w:t>The ability at this point to report an underspend as a Directorate is largely due to one</w:t>
      </w:r>
      <w:r w:rsidR="0082471E" w:rsidRPr="00C022E0">
        <w:rPr>
          <w:rFonts w:cs="Arial"/>
        </w:rPr>
        <w:t>-</w:t>
      </w:r>
      <w:r w:rsidRPr="00C022E0">
        <w:rPr>
          <w:rFonts w:cs="Arial"/>
        </w:rPr>
        <w:t>off income recovery through sharing costs more equitably with the NHS</w:t>
      </w:r>
      <w:r w:rsidR="00351644">
        <w:rPr>
          <w:rFonts w:cs="Arial"/>
        </w:rPr>
        <w:t>,</w:t>
      </w:r>
      <w:r w:rsidRPr="00C022E0">
        <w:rPr>
          <w:rFonts w:cs="Arial"/>
        </w:rPr>
        <w:t xml:space="preserve"> for example on ensuring obligations are met toward Continuing Health Care.  Work continues with the NHS to achieve better value for money by working together and where appropriate to pool budgets.</w:t>
      </w:r>
      <w:r w:rsidR="00C022E0">
        <w:rPr>
          <w:rFonts w:cs="Arial"/>
        </w:rPr>
        <w:t xml:space="preserve"> As part of service delivery</w:t>
      </w:r>
      <w:r w:rsidRPr="00C022E0">
        <w:rPr>
          <w:rFonts w:cs="Arial"/>
        </w:rPr>
        <w:t>, joint funding from the NHS, service user income and direct payment clawback</w:t>
      </w:r>
      <w:r w:rsidR="00C022E0">
        <w:rPr>
          <w:rFonts w:cs="Arial"/>
        </w:rPr>
        <w:t xml:space="preserve"> are part of day-to-day operational activity, with levels of income increasing partially due to additional demand levels </w:t>
      </w:r>
      <w:proofErr w:type="gramStart"/>
      <w:r w:rsidR="00C022E0">
        <w:rPr>
          <w:rFonts w:cs="Arial"/>
        </w:rPr>
        <w:t>and also</w:t>
      </w:r>
      <w:proofErr w:type="gramEnd"/>
      <w:r w:rsidR="00C022E0">
        <w:rPr>
          <w:rFonts w:cs="Arial"/>
        </w:rPr>
        <w:t xml:space="preserve"> due to improved business processes and collaborative working</w:t>
      </w:r>
      <w:r w:rsidRPr="00C022E0">
        <w:rPr>
          <w:rFonts w:cs="Arial"/>
        </w:rPr>
        <w:t>. This will continue to be monitored and reported in future reports and forms part of next year's savings proposals as there is more work to do.</w:t>
      </w:r>
    </w:p>
    <w:bookmarkEnd w:id="8"/>
    <w:p w14:paraId="1BB3B4BC" w14:textId="76873AFD" w:rsidR="0068465A" w:rsidRPr="00746994"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lang w:eastAsia="en-GB"/>
        </w:rPr>
        <w:t> </w:t>
      </w:r>
    </w:p>
    <w:p w14:paraId="4F562F84" w14:textId="3425172C" w:rsidR="000F78F1" w:rsidRPr="00746994" w:rsidRDefault="000F78F1" w:rsidP="000F78F1">
      <w:pPr>
        <w:spacing w:after="0"/>
        <w:rPr>
          <w:rFonts w:cs="Arial"/>
          <w:b/>
          <w:u w:val="single"/>
        </w:rPr>
      </w:pPr>
      <w:r w:rsidRPr="00746994">
        <w:rPr>
          <w:rFonts w:cs="Arial"/>
          <w:b/>
          <w:u w:val="single"/>
        </w:rPr>
        <w:t xml:space="preserve">Public Health &amp; </w:t>
      </w:r>
      <w:r w:rsidR="00746994" w:rsidRPr="00746994">
        <w:rPr>
          <w:rFonts w:cs="Arial"/>
          <w:b/>
          <w:u w:val="single"/>
        </w:rPr>
        <w:t>Wellbeing - forecast overspend £0.169m</w:t>
      </w:r>
    </w:p>
    <w:p w14:paraId="3869C32E" w14:textId="77777777" w:rsidR="000F78F1" w:rsidRPr="00746994" w:rsidRDefault="000F78F1" w:rsidP="000F78F1">
      <w:pPr>
        <w:spacing w:after="0"/>
        <w:rPr>
          <w:rFonts w:cs="Arial"/>
          <w:b/>
        </w:rPr>
      </w:pPr>
    </w:p>
    <w:p w14:paraId="4C718896" w14:textId="336F41C5" w:rsidR="000F78F1" w:rsidRPr="00746994"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lang w:eastAsia="en-GB"/>
        </w:rPr>
        <w:t>The total budget for Public Health &amp; Wellbeing Services in 2022/23 is a net income budget of (£3.</w:t>
      </w:r>
      <w:r w:rsidR="00746994">
        <w:rPr>
          <w:rFonts w:eastAsia="Times New Roman" w:cs="Arial"/>
          <w:lang w:eastAsia="en-GB"/>
        </w:rPr>
        <w:t>442</w:t>
      </w:r>
      <w:r w:rsidRPr="00746994">
        <w:rPr>
          <w:rFonts w:eastAsia="Times New Roman" w:cs="Arial"/>
          <w:lang w:eastAsia="en-GB"/>
        </w:rPr>
        <w:t xml:space="preserve">m) as it includes the ring-fenced Public Health Grant of £72.216m. The overall </w:t>
      </w:r>
      <w:r w:rsidR="00830CEF">
        <w:rPr>
          <w:rFonts w:eastAsia="Times New Roman" w:cs="Arial"/>
          <w:lang w:eastAsia="en-GB"/>
        </w:rPr>
        <w:t>forecast position is</w:t>
      </w:r>
      <w:r w:rsidRPr="00746994">
        <w:rPr>
          <w:rFonts w:eastAsia="Times New Roman" w:cs="Arial"/>
          <w:lang w:eastAsia="en-GB"/>
        </w:rPr>
        <w:t xml:space="preserve"> an overspend at Quarter </w:t>
      </w:r>
      <w:r w:rsidR="00746994">
        <w:rPr>
          <w:rFonts w:eastAsia="Times New Roman" w:cs="Arial"/>
          <w:lang w:eastAsia="en-GB"/>
        </w:rPr>
        <w:t>3</w:t>
      </w:r>
      <w:r w:rsidRPr="00746994">
        <w:rPr>
          <w:rFonts w:eastAsia="Times New Roman" w:cs="Arial"/>
          <w:lang w:eastAsia="en-GB"/>
        </w:rPr>
        <w:t xml:space="preserve"> of £0.</w:t>
      </w:r>
      <w:r w:rsidR="00746994">
        <w:rPr>
          <w:rFonts w:eastAsia="Times New Roman" w:cs="Arial"/>
          <w:lang w:eastAsia="en-GB"/>
        </w:rPr>
        <w:t>169</w:t>
      </w:r>
      <w:r w:rsidRPr="00746994">
        <w:rPr>
          <w:rFonts w:eastAsia="Times New Roman" w:cs="Arial"/>
          <w:lang w:eastAsia="en-GB"/>
        </w:rPr>
        <w:t xml:space="preserve">m.  </w:t>
      </w:r>
    </w:p>
    <w:p w14:paraId="3A91CA45" w14:textId="77777777" w:rsidR="000F78F1" w:rsidRPr="00746994"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lang w:eastAsia="en-GB"/>
        </w:rPr>
        <w:t> </w:t>
      </w:r>
    </w:p>
    <w:p w14:paraId="06098280" w14:textId="4F34F110" w:rsidR="000F78F1" w:rsidRPr="00746994" w:rsidRDefault="000F78F1" w:rsidP="000F78F1">
      <w:pPr>
        <w:spacing w:after="0"/>
        <w:textAlignment w:val="baseline"/>
        <w:rPr>
          <w:rFonts w:eastAsia="Times New Roman" w:cs="Arial"/>
          <w:lang w:eastAsia="en-GB"/>
        </w:rPr>
      </w:pPr>
      <w:r w:rsidRPr="00746994">
        <w:rPr>
          <w:rFonts w:eastAsia="Times New Roman" w:cs="Arial"/>
          <w:lang w:eastAsia="en-GB"/>
        </w:rPr>
        <w:t>As the Public Health Grant is ring-fenced</w:t>
      </w:r>
      <w:r w:rsidR="00DB4D27">
        <w:rPr>
          <w:rFonts w:eastAsia="Times New Roman" w:cs="Arial"/>
          <w:lang w:eastAsia="en-GB"/>
        </w:rPr>
        <w:t>,</w:t>
      </w:r>
      <w:r w:rsidRPr="00746994">
        <w:rPr>
          <w:rFonts w:eastAsia="Times New Roman" w:cs="Arial"/>
          <w:lang w:eastAsia="en-GB"/>
        </w:rPr>
        <w:t xml:space="preserve"> any underspend on those services covered by the grant occurring in year will be transferred to the Public Health Grant Reserve to be re-invested into the service</w:t>
      </w:r>
      <w:r w:rsidR="00D822A5">
        <w:rPr>
          <w:rFonts w:eastAsia="Times New Roman" w:cs="Arial"/>
          <w:lang w:eastAsia="en-GB"/>
        </w:rPr>
        <w:t>,</w:t>
      </w:r>
      <w:r w:rsidRPr="00746994">
        <w:rPr>
          <w:rFonts w:eastAsia="Times New Roman" w:cs="Arial"/>
          <w:lang w:eastAsia="en-GB"/>
        </w:rPr>
        <w:t xml:space="preserve"> such as the Transformation Programme currently being developed and implemented. </w:t>
      </w:r>
    </w:p>
    <w:p w14:paraId="35E01C47" w14:textId="77777777" w:rsidR="000F78F1" w:rsidRPr="00746994" w:rsidRDefault="000F78F1" w:rsidP="000F78F1">
      <w:pPr>
        <w:spacing w:after="0"/>
        <w:textAlignment w:val="baseline"/>
        <w:rPr>
          <w:rFonts w:eastAsia="Times New Roman" w:cs="Arial"/>
          <w:lang w:eastAsia="en-GB"/>
        </w:rPr>
      </w:pPr>
    </w:p>
    <w:p w14:paraId="71A996F9" w14:textId="1C6C3789" w:rsidR="000F78F1" w:rsidRPr="00746994" w:rsidRDefault="000F78F1" w:rsidP="000F78F1">
      <w:pPr>
        <w:spacing w:after="0"/>
        <w:textAlignment w:val="baseline"/>
        <w:rPr>
          <w:rFonts w:eastAsia="Times New Roman" w:cs="Arial"/>
          <w:lang w:eastAsia="en-GB"/>
        </w:rPr>
      </w:pPr>
      <w:r w:rsidRPr="00746994">
        <w:rPr>
          <w:rFonts w:eastAsia="Times New Roman" w:cs="Arial"/>
          <w:lang w:eastAsia="en-GB"/>
        </w:rPr>
        <w:t>The service has had to work in a very different way during the last two years to deliver the successful response to the demands of the pandemic in Lancashire</w:t>
      </w:r>
      <w:r w:rsidR="00A96A49">
        <w:rPr>
          <w:rFonts w:eastAsia="Times New Roman" w:cs="Arial"/>
          <w:lang w:eastAsia="en-GB"/>
        </w:rPr>
        <w:t>,</w:t>
      </w:r>
      <w:r w:rsidRPr="00746994">
        <w:rPr>
          <w:rFonts w:eastAsia="Times New Roman" w:cs="Arial"/>
          <w:lang w:eastAsia="en-GB"/>
        </w:rPr>
        <w:t xml:space="preserve"> with the change in approach leading to growth in the Public Health Grant Reserve balance.</w:t>
      </w:r>
      <w:r w:rsidR="0082471E" w:rsidRPr="00746994">
        <w:rPr>
          <w:rFonts w:eastAsia="Times New Roman" w:cs="Arial"/>
          <w:lang w:eastAsia="en-GB"/>
        </w:rPr>
        <w:t xml:space="preserve"> </w:t>
      </w:r>
      <w:r w:rsidRPr="00746994">
        <w:rPr>
          <w:rFonts w:eastAsia="Times New Roman" w:cs="Arial"/>
          <w:lang w:eastAsia="en-GB"/>
        </w:rPr>
        <w:t xml:space="preserve">This fund is now available, not only to support transforming the Public Health service, but also to investment into services across the </w:t>
      </w:r>
      <w:r w:rsidR="005A1437">
        <w:rPr>
          <w:rFonts w:eastAsia="Times New Roman" w:cs="Arial"/>
          <w:lang w:eastAsia="en-GB"/>
        </w:rPr>
        <w:t>county c</w:t>
      </w:r>
      <w:r w:rsidRPr="00746994">
        <w:rPr>
          <w:rFonts w:eastAsia="Times New Roman" w:cs="Arial"/>
          <w:lang w:eastAsia="en-GB"/>
        </w:rPr>
        <w:t>ouncil that will have a positive impact on public health</w:t>
      </w:r>
      <w:r w:rsidR="0082471E" w:rsidRPr="00746994">
        <w:rPr>
          <w:rFonts w:eastAsia="Times New Roman" w:cs="Arial"/>
          <w:lang w:eastAsia="en-GB"/>
        </w:rPr>
        <w:t xml:space="preserve">. </w:t>
      </w:r>
      <w:r w:rsidRPr="00746994">
        <w:rPr>
          <w:rFonts w:eastAsia="Times New Roman" w:cs="Arial"/>
          <w:lang w:eastAsia="en-GB"/>
        </w:rPr>
        <w:t xml:space="preserve">A proposal totalling £14m has already been included in the recent Cabinet </w:t>
      </w:r>
      <w:r w:rsidR="0082471E" w:rsidRPr="00746994">
        <w:rPr>
          <w:rFonts w:eastAsia="Times New Roman" w:cs="Arial"/>
          <w:lang w:eastAsia="en-GB"/>
        </w:rPr>
        <w:t>b</w:t>
      </w:r>
      <w:r w:rsidRPr="00746994">
        <w:rPr>
          <w:rFonts w:eastAsia="Times New Roman" w:cs="Arial"/>
          <w:lang w:eastAsia="en-GB"/>
        </w:rPr>
        <w:t>udget report.</w:t>
      </w:r>
    </w:p>
    <w:p w14:paraId="1211BDBB" w14:textId="77777777" w:rsidR="000F78F1" w:rsidRPr="00C75BA1" w:rsidRDefault="000F78F1" w:rsidP="000F78F1">
      <w:pPr>
        <w:spacing w:after="0"/>
        <w:textAlignment w:val="baseline"/>
        <w:rPr>
          <w:rFonts w:eastAsia="Times New Roman" w:cs="Arial"/>
          <w:highlight w:val="yellow"/>
          <w:lang w:eastAsia="en-GB"/>
        </w:rPr>
      </w:pPr>
    </w:p>
    <w:p w14:paraId="4DA8585E" w14:textId="319F8643" w:rsidR="000F78F1" w:rsidRPr="00746994"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b/>
          <w:bCs/>
          <w:lang w:eastAsia="en-GB"/>
        </w:rPr>
        <w:t>Financ</w:t>
      </w:r>
      <w:r w:rsidR="003648C2">
        <w:rPr>
          <w:rFonts w:eastAsia="Times New Roman" w:cs="Arial"/>
          <w:b/>
          <w:bCs/>
          <w:lang w:eastAsia="en-GB"/>
        </w:rPr>
        <w:t>ial</w:t>
      </w:r>
      <w:r w:rsidRPr="00746994">
        <w:rPr>
          <w:rFonts w:eastAsia="Times New Roman" w:cs="Arial"/>
          <w:b/>
          <w:bCs/>
          <w:lang w:eastAsia="en-GB"/>
        </w:rPr>
        <w:t xml:space="preserve"> Outlook Beyond 2022/23</w:t>
      </w:r>
      <w:r w:rsidRPr="00746994">
        <w:rPr>
          <w:rFonts w:eastAsia="Times New Roman" w:cs="Arial"/>
          <w:lang w:eastAsia="en-GB"/>
        </w:rPr>
        <w:t> </w:t>
      </w:r>
    </w:p>
    <w:p w14:paraId="4E52F925" w14:textId="7F21A860" w:rsidR="000F78F1" w:rsidRPr="00746994"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lang w:eastAsia="en-GB"/>
        </w:rPr>
        <w:t>Any underspends within the service are</w:t>
      </w:r>
      <w:bookmarkStart w:id="10" w:name="_Int_RM4Y0lrb"/>
      <w:r w:rsidRPr="00746994">
        <w:rPr>
          <w:rFonts w:eastAsia="Times New Roman" w:cs="Arial"/>
          <w:lang w:eastAsia="en-GB"/>
        </w:rPr>
        <w:t xml:space="preserve"> mainly due</w:t>
      </w:r>
      <w:bookmarkEnd w:id="10"/>
      <w:r w:rsidRPr="00746994">
        <w:rPr>
          <w:rFonts w:eastAsia="Times New Roman" w:cs="Arial"/>
          <w:lang w:eastAsia="en-GB"/>
        </w:rPr>
        <w:t xml:space="preserve"> to service and project delays due to the pandemic and continued COVID-19 infections and outbreaks across Lancashire</w:t>
      </w:r>
      <w:r w:rsidR="00B6573C">
        <w:rPr>
          <w:rFonts w:eastAsia="Times New Roman" w:cs="Arial"/>
          <w:lang w:eastAsia="en-GB"/>
        </w:rPr>
        <w:t>,</w:t>
      </w:r>
      <w:r w:rsidRPr="00746994">
        <w:rPr>
          <w:rFonts w:eastAsia="Times New Roman" w:cs="Arial"/>
          <w:lang w:eastAsia="en-GB"/>
        </w:rPr>
        <w:t xml:space="preserve"> together with staff working on COVID-19 contain management which has been funded by grant.  Despite the</w:t>
      </w:r>
      <w:r w:rsidR="00746994">
        <w:rPr>
          <w:rFonts w:eastAsia="Times New Roman" w:cs="Arial"/>
          <w:lang w:eastAsia="en-GB"/>
        </w:rPr>
        <w:t xml:space="preserve"> relatively low</w:t>
      </w:r>
      <w:r w:rsidRPr="00746994">
        <w:rPr>
          <w:rFonts w:eastAsia="Times New Roman" w:cs="Arial"/>
          <w:lang w:eastAsia="en-GB"/>
        </w:rPr>
        <w:t xml:space="preserve"> level of forecast </w:t>
      </w:r>
      <w:r w:rsidR="00746994">
        <w:rPr>
          <w:rFonts w:eastAsia="Times New Roman" w:cs="Arial"/>
          <w:lang w:eastAsia="en-GB"/>
        </w:rPr>
        <w:t>over</w:t>
      </w:r>
      <w:r w:rsidRPr="00746994">
        <w:rPr>
          <w:rFonts w:eastAsia="Times New Roman" w:cs="Arial"/>
          <w:lang w:eastAsia="en-GB"/>
        </w:rPr>
        <w:t>spend in 2022/23</w:t>
      </w:r>
      <w:r w:rsidR="00746994">
        <w:rPr>
          <w:rFonts w:eastAsia="Times New Roman" w:cs="Arial"/>
          <w:lang w:eastAsia="en-GB"/>
        </w:rPr>
        <w:t xml:space="preserve"> and a forecast contribution to reserves for underspends across services funding through the Public Health Grant</w:t>
      </w:r>
      <w:r w:rsidRPr="00746994">
        <w:rPr>
          <w:rFonts w:eastAsia="Times New Roman" w:cs="Arial"/>
          <w:lang w:eastAsia="en-GB"/>
        </w:rPr>
        <w:t>, the current high rates of inflation will have a material impact on the cost of commissioned services</w:t>
      </w:r>
      <w:r w:rsidR="005841F9">
        <w:rPr>
          <w:rFonts w:eastAsia="Times New Roman" w:cs="Arial"/>
          <w:lang w:eastAsia="en-GB"/>
        </w:rPr>
        <w:t>, such as sexual health services, health visiting and substance misuse services,</w:t>
      </w:r>
      <w:r w:rsidRPr="00746994">
        <w:rPr>
          <w:rFonts w:eastAsia="Times New Roman" w:cs="Arial"/>
          <w:lang w:eastAsia="en-GB"/>
        </w:rPr>
        <w:t xml:space="preserve"> </w:t>
      </w:r>
      <w:bookmarkStart w:id="11" w:name="_Int_L9I8tARe"/>
      <w:proofErr w:type="gramStart"/>
      <w:r w:rsidRPr="00746994">
        <w:rPr>
          <w:rFonts w:eastAsia="Times New Roman" w:cs="Arial"/>
          <w:lang w:eastAsia="en-GB"/>
        </w:rPr>
        <w:t>and also</w:t>
      </w:r>
      <w:bookmarkEnd w:id="11"/>
      <w:proofErr w:type="gramEnd"/>
      <w:r w:rsidRPr="00746994">
        <w:rPr>
          <w:rFonts w:eastAsia="Times New Roman" w:cs="Arial"/>
          <w:lang w:eastAsia="en-GB"/>
        </w:rPr>
        <w:t xml:space="preserve"> internal costs from 2022/23 onwards.  </w:t>
      </w:r>
    </w:p>
    <w:p w14:paraId="602CE8F7" w14:textId="77777777" w:rsidR="000F78F1" w:rsidRPr="00746994" w:rsidRDefault="000F78F1" w:rsidP="000F78F1">
      <w:pPr>
        <w:spacing w:after="0"/>
        <w:textAlignment w:val="baseline"/>
        <w:rPr>
          <w:rFonts w:ascii="Segoe UI" w:eastAsia="Times New Roman" w:hAnsi="Segoe UI" w:cs="Segoe UI"/>
          <w:b/>
          <w:bCs/>
          <w:sz w:val="18"/>
          <w:szCs w:val="18"/>
          <w:lang w:eastAsia="en-GB"/>
        </w:rPr>
      </w:pPr>
    </w:p>
    <w:p w14:paraId="35F2347B" w14:textId="480A5836" w:rsidR="000F78F1" w:rsidRPr="00746994" w:rsidRDefault="000F78F1" w:rsidP="000F78F1">
      <w:pPr>
        <w:spacing w:after="0"/>
        <w:textAlignment w:val="baseline"/>
        <w:rPr>
          <w:rFonts w:ascii="Segoe UI" w:eastAsia="Times New Roman" w:hAnsi="Segoe UI" w:cs="Segoe UI"/>
          <w:b/>
          <w:bCs/>
          <w:sz w:val="18"/>
          <w:szCs w:val="18"/>
          <w:lang w:eastAsia="en-GB"/>
        </w:rPr>
      </w:pPr>
      <w:r w:rsidRPr="00746994">
        <w:rPr>
          <w:rFonts w:eastAsia="Times New Roman" w:cs="Arial"/>
          <w:b/>
          <w:bCs/>
          <w:lang w:eastAsia="en-GB"/>
        </w:rPr>
        <w:lastRenderedPageBreak/>
        <w:t>Public Health and Wellbeing </w:t>
      </w:r>
      <w:r w:rsidR="00746994" w:rsidRPr="00746994">
        <w:rPr>
          <w:rFonts w:eastAsia="Times New Roman" w:cs="Arial"/>
          <w:b/>
          <w:bCs/>
          <w:lang w:eastAsia="en-GB"/>
        </w:rPr>
        <w:t xml:space="preserve">– forecast </w:t>
      </w:r>
      <w:proofErr w:type="gramStart"/>
      <w:r w:rsidR="00746994" w:rsidRPr="00746994">
        <w:rPr>
          <w:rFonts w:eastAsia="Times New Roman" w:cs="Arial"/>
          <w:b/>
          <w:bCs/>
          <w:lang w:eastAsia="en-GB"/>
        </w:rPr>
        <w:t>to</w:t>
      </w:r>
      <w:proofErr w:type="gramEnd"/>
      <w:r w:rsidR="00746994" w:rsidRPr="00746994">
        <w:rPr>
          <w:rFonts w:eastAsia="Times New Roman" w:cs="Arial"/>
          <w:b/>
          <w:bCs/>
          <w:lang w:eastAsia="en-GB"/>
        </w:rPr>
        <w:t xml:space="preserve"> breakeven</w:t>
      </w:r>
    </w:p>
    <w:p w14:paraId="27D429FA" w14:textId="36E0B96E" w:rsidR="000F78F1" w:rsidRPr="00746994"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lang w:eastAsia="en-GB"/>
        </w:rPr>
        <w:t xml:space="preserve">The Public Health and Wellbeing budget is forecast to end the year underspent as the Contained Outbreak Management Fund monies will be used to meet employee cost as appropriate. As per previous years, the </w:t>
      </w:r>
      <w:r w:rsidR="007A02ED" w:rsidRPr="00746994">
        <w:rPr>
          <w:rFonts w:eastAsia="Times New Roman" w:cs="Arial"/>
          <w:lang w:eastAsia="en-GB"/>
        </w:rPr>
        <w:t>c</w:t>
      </w:r>
      <w:r w:rsidRPr="00746994">
        <w:rPr>
          <w:rFonts w:eastAsia="Times New Roman" w:cs="Arial"/>
          <w:lang w:eastAsia="en-GB"/>
        </w:rPr>
        <w:t xml:space="preserve">ost </w:t>
      </w:r>
      <w:r w:rsidR="007A02ED" w:rsidRPr="00746994">
        <w:rPr>
          <w:rFonts w:eastAsia="Times New Roman" w:cs="Arial"/>
          <w:lang w:eastAsia="en-GB"/>
        </w:rPr>
        <w:t>ce</w:t>
      </w:r>
      <w:r w:rsidRPr="00746994">
        <w:rPr>
          <w:rFonts w:eastAsia="Times New Roman" w:cs="Arial"/>
          <w:lang w:eastAsia="en-GB"/>
        </w:rPr>
        <w:t>ntre shows a breakeven position as all unspent Public Health Grant will be transferred into the reserve.   </w:t>
      </w:r>
    </w:p>
    <w:p w14:paraId="115B26C0" w14:textId="77777777" w:rsidR="000F78F1" w:rsidRPr="00746994"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color w:val="FF0000"/>
          <w:lang w:eastAsia="en-GB"/>
        </w:rPr>
        <w:t> </w:t>
      </w:r>
    </w:p>
    <w:p w14:paraId="70EA5FCD" w14:textId="45E80D55" w:rsidR="000F78F1" w:rsidRPr="00746994"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b/>
          <w:bCs/>
          <w:lang w:eastAsia="en-GB"/>
        </w:rPr>
        <w:t>Health Equity, Welfare &amp; Partnership</w:t>
      </w:r>
      <w:r w:rsidR="00746994" w:rsidRPr="00746994">
        <w:rPr>
          <w:rFonts w:eastAsia="Times New Roman" w:cs="Arial"/>
          <w:b/>
          <w:bCs/>
          <w:lang w:eastAsia="en-GB"/>
        </w:rPr>
        <w:t xml:space="preserve"> – forecast </w:t>
      </w:r>
      <w:proofErr w:type="gramStart"/>
      <w:r w:rsidR="00746994" w:rsidRPr="00746994">
        <w:rPr>
          <w:rFonts w:eastAsia="Times New Roman" w:cs="Arial"/>
          <w:b/>
          <w:bCs/>
          <w:lang w:eastAsia="en-GB"/>
        </w:rPr>
        <w:t>to</w:t>
      </w:r>
      <w:proofErr w:type="gramEnd"/>
      <w:r w:rsidR="00746994" w:rsidRPr="00746994">
        <w:rPr>
          <w:rFonts w:eastAsia="Times New Roman" w:cs="Arial"/>
          <w:b/>
          <w:bCs/>
          <w:lang w:eastAsia="en-GB"/>
        </w:rPr>
        <w:t xml:space="preserve"> breakeven</w:t>
      </w:r>
    </w:p>
    <w:p w14:paraId="6A6A2352" w14:textId="19328DC1" w:rsidR="000F78F1" w:rsidRPr="00746994" w:rsidRDefault="00746994" w:rsidP="000F78F1">
      <w:pPr>
        <w:spacing w:after="0"/>
        <w:textAlignment w:val="baseline"/>
        <w:rPr>
          <w:rFonts w:ascii="Segoe UI" w:eastAsia="Times New Roman" w:hAnsi="Segoe UI" w:cs="Segoe UI"/>
          <w:sz w:val="18"/>
          <w:szCs w:val="18"/>
          <w:lang w:eastAsia="en-GB"/>
        </w:rPr>
      </w:pPr>
      <w:r>
        <w:rPr>
          <w:rFonts w:eastAsia="Times New Roman" w:cs="Arial"/>
          <w:lang w:eastAsia="en-GB"/>
        </w:rPr>
        <w:t xml:space="preserve">Various relatively small underspends are forecast across the services, however, as these services are public health grant funded, any underspend is moved to reserves to invest in public health in future years. In 2022/23 </w:t>
      </w:r>
      <w:r w:rsidR="000F78F1" w:rsidRPr="00746994">
        <w:rPr>
          <w:rFonts w:eastAsia="Times New Roman" w:cs="Arial"/>
          <w:lang w:eastAsia="en-GB"/>
        </w:rPr>
        <w:t xml:space="preserve">a contribution to the Public Health Grant Reserve of c£3m </w:t>
      </w:r>
      <w:r>
        <w:rPr>
          <w:rFonts w:eastAsia="Times New Roman" w:cs="Arial"/>
          <w:lang w:eastAsia="en-GB"/>
        </w:rPr>
        <w:t>is forecast</w:t>
      </w:r>
      <w:r w:rsidR="000F78F1" w:rsidRPr="00746994">
        <w:rPr>
          <w:rFonts w:eastAsia="Times New Roman" w:cs="Arial"/>
          <w:lang w:eastAsia="en-GB"/>
        </w:rPr>
        <w:t xml:space="preserve">.  </w:t>
      </w:r>
    </w:p>
    <w:p w14:paraId="390071FC" w14:textId="74373278" w:rsidR="000F78F1" w:rsidRPr="00C75BA1" w:rsidRDefault="000F78F1" w:rsidP="000F78F1">
      <w:pPr>
        <w:spacing w:after="0"/>
        <w:textAlignment w:val="baseline"/>
        <w:rPr>
          <w:rFonts w:ascii="Segoe UI" w:eastAsia="Times New Roman" w:hAnsi="Segoe UI" w:cs="Segoe UI"/>
          <w:sz w:val="18"/>
          <w:szCs w:val="18"/>
          <w:highlight w:val="yellow"/>
          <w:lang w:eastAsia="en-GB"/>
        </w:rPr>
      </w:pPr>
    </w:p>
    <w:p w14:paraId="61218FDC" w14:textId="3C771EBC" w:rsidR="000F78F1" w:rsidRPr="00746994" w:rsidRDefault="000F78F1" w:rsidP="000F78F1">
      <w:pPr>
        <w:spacing w:after="0"/>
        <w:textAlignment w:val="baseline"/>
        <w:rPr>
          <w:rFonts w:ascii="Segoe UI" w:eastAsia="Times New Roman" w:hAnsi="Segoe UI" w:cs="Segoe UI"/>
          <w:b/>
          <w:bCs/>
          <w:sz w:val="18"/>
          <w:szCs w:val="18"/>
          <w:lang w:eastAsia="en-GB"/>
        </w:rPr>
      </w:pPr>
      <w:r w:rsidRPr="00746994">
        <w:rPr>
          <w:rFonts w:eastAsia="Times New Roman" w:cs="Arial"/>
          <w:b/>
          <w:bCs/>
          <w:lang w:eastAsia="en-GB"/>
        </w:rPr>
        <w:t>Health, Safety &amp; Resilience </w:t>
      </w:r>
      <w:r w:rsidR="00746994" w:rsidRPr="00746994">
        <w:rPr>
          <w:rFonts w:eastAsia="Times New Roman" w:cs="Arial"/>
          <w:b/>
          <w:bCs/>
          <w:lang w:eastAsia="en-GB"/>
        </w:rPr>
        <w:t>– forecast underspend £0.259m</w:t>
      </w:r>
    </w:p>
    <w:p w14:paraId="5F98D76B" w14:textId="69260415" w:rsidR="000F78F1" w:rsidRPr="00746994"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lang w:eastAsia="en-GB"/>
        </w:rPr>
        <w:t>The forecast outturn position for 2022/23 is an underspend of £0.2</w:t>
      </w:r>
      <w:r w:rsidR="00746994" w:rsidRPr="00746994">
        <w:rPr>
          <w:rFonts w:eastAsia="Times New Roman" w:cs="Arial"/>
          <w:lang w:eastAsia="en-GB"/>
        </w:rPr>
        <w:t>59</w:t>
      </w:r>
      <w:r w:rsidRPr="00746994">
        <w:rPr>
          <w:rFonts w:eastAsia="Times New Roman" w:cs="Arial"/>
          <w:lang w:eastAsia="en-GB"/>
        </w:rPr>
        <w:t xml:space="preserve">m due to </w:t>
      </w:r>
      <w:r w:rsidR="00746994" w:rsidRPr="00746994">
        <w:rPr>
          <w:rFonts w:eastAsia="Times New Roman" w:cs="Arial"/>
          <w:lang w:eastAsia="en-GB"/>
        </w:rPr>
        <w:t>additional income off set by the higher than budgeted pay award pressure.</w:t>
      </w:r>
      <w:r w:rsidRPr="00746994">
        <w:rPr>
          <w:rFonts w:eastAsia="Times New Roman" w:cs="Arial"/>
          <w:lang w:eastAsia="en-GB"/>
        </w:rPr>
        <w:t> </w:t>
      </w:r>
    </w:p>
    <w:p w14:paraId="058CFE50" w14:textId="77777777" w:rsidR="000F78F1" w:rsidRPr="00746994"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lang w:eastAsia="en-GB"/>
        </w:rPr>
        <w:t> </w:t>
      </w:r>
    </w:p>
    <w:p w14:paraId="0D04FFC2" w14:textId="1F15FF6E" w:rsidR="000F78F1" w:rsidRPr="00746994" w:rsidRDefault="000F78F1" w:rsidP="000F78F1">
      <w:pPr>
        <w:spacing w:after="0"/>
        <w:textAlignment w:val="baseline"/>
        <w:rPr>
          <w:rFonts w:ascii="Segoe UI" w:eastAsia="Times New Roman" w:hAnsi="Segoe UI" w:cs="Segoe UI"/>
          <w:b/>
          <w:bCs/>
          <w:sz w:val="18"/>
          <w:szCs w:val="18"/>
          <w:lang w:eastAsia="en-GB"/>
        </w:rPr>
      </w:pPr>
      <w:r w:rsidRPr="00746994">
        <w:rPr>
          <w:rFonts w:eastAsia="Times New Roman" w:cs="Arial"/>
          <w:b/>
          <w:bCs/>
          <w:lang w:eastAsia="en-GB"/>
        </w:rPr>
        <w:t>Trading Standards &amp; Scientific Services </w:t>
      </w:r>
      <w:r w:rsidR="00746994" w:rsidRPr="00746994">
        <w:rPr>
          <w:rFonts w:eastAsia="Times New Roman" w:cs="Arial"/>
          <w:b/>
          <w:bCs/>
          <w:lang w:eastAsia="en-GB"/>
        </w:rPr>
        <w:t>– forecast overspend £0.428m</w:t>
      </w:r>
    </w:p>
    <w:p w14:paraId="13D46DE7" w14:textId="7F8596AA" w:rsidR="000F78F1" w:rsidRPr="000F78F1" w:rsidRDefault="000F78F1" w:rsidP="000F78F1">
      <w:pPr>
        <w:spacing w:after="0"/>
        <w:textAlignment w:val="baseline"/>
        <w:rPr>
          <w:rFonts w:ascii="Segoe UI" w:eastAsia="Times New Roman" w:hAnsi="Segoe UI" w:cs="Segoe UI"/>
          <w:sz w:val="18"/>
          <w:szCs w:val="18"/>
          <w:lang w:eastAsia="en-GB"/>
        </w:rPr>
      </w:pPr>
      <w:r w:rsidRPr="00746994">
        <w:rPr>
          <w:rFonts w:eastAsia="Times New Roman" w:cs="Arial"/>
          <w:lang w:eastAsia="en-GB"/>
        </w:rPr>
        <w:t>Trading Standards &amp; Scientific Services forecasted year end position is an overspend of £0.</w:t>
      </w:r>
      <w:r w:rsidR="00746994" w:rsidRPr="00746994">
        <w:rPr>
          <w:rFonts w:eastAsia="Times New Roman" w:cs="Arial"/>
          <w:lang w:eastAsia="en-GB"/>
        </w:rPr>
        <w:t>428</w:t>
      </w:r>
      <w:r w:rsidRPr="00746994">
        <w:rPr>
          <w:rFonts w:eastAsia="Times New Roman" w:cs="Arial"/>
          <w:lang w:eastAsia="en-GB"/>
        </w:rPr>
        <w:t xml:space="preserve">m due to </w:t>
      </w:r>
      <w:r w:rsidR="007D0296" w:rsidRPr="007D0296">
        <w:rPr>
          <w:rFonts w:eastAsia="Times New Roman" w:cs="Arial"/>
          <w:lang w:eastAsia="en-GB"/>
        </w:rPr>
        <w:t xml:space="preserve">budget pressures on </w:t>
      </w:r>
      <w:r w:rsidR="007D0296">
        <w:rPr>
          <w:rFonts w:eastAsia="Times New Roman" w:cs="Arial"/>
          <w:lang w:eastAsia="en-GB"/>
        </w:rPr>
        <w:t>c</w:t>
      </w:r>
      <w:r w:rsidR="007D0296" w:rsidRPr="007D0296">
        <w:rPr>
          <w:rFonts w:eastAsia="Times New Roman" w:cs="Arial"/>
          <w:lang w:eastAsia="en-GB"/>
        </w:rPr>
        <w:t xml:space="preserve">losed </w:t>
      </w:r>
      <w:r w:rsidR="007D0296">
        <w:rPr>
          <w:rFonts w:eastAsia="Times New Roman" w:cs="Arial"/>
          <w:lang w:eastAsia="en-GB"/>
        </w:rPr>
        <w:t>l</w:t>
      </w:r>
      <w:r w:rsidR="007D0296" w:rsidRPr="007D0296">
        <w:rPr>
          <w:rFonts w:eastAsia="Times New Roman" w:cs="Arial"/>
          <w:lang w:eastAsia="en-GB"/>
        </w:rPr>
        <w:t xml:space="preserve">andfill </w:t>
      </w:r>
      <w:r w:rsidR="007D0296">
        <w:rPr>
          <w:rFonts w:eastAsia="Times New Roman" w:cs="Arial"/>
          <w:lang w:eastAsia="en-GB"/>
        </w:rPr>
        <w:t>s</w:t>
      </w:r>
      <w:r w:rsidR="007D0296" w:rsidRPr="007D0296">
        <w:rPr>
          <w:rFonts w:eastAsia="Times New Roman" w:cs="Arial"/>
          <w:lang w:eastAsia="en-GB"/>
        </w:rPr>
        <w:t xml:space="preserve">ites and </w:t>
      </w:r>
      <w:r w:rsidR="007D0296">
        <w:rPr>
          <w:rFonts w:eastAsia="Times New Roman" w:cs="Arial"/>
          <w:lang w:eastAsia="en-GB"/>
        </w:rPr>
        <w:t>e</w:t>
      </w:r>
      <w:r w:rsidR="007D0296" w:rsidRPr="007D0296">
        <w:rPr>
          <w:rFonts w:eastAsia="Times New Roman" w:cs="Arial"/>
          <w:lang w:eastAsia="en-GB"/>
        </w:rPr>
        <w:t xml:space="preserve">nvironmental </w:t>
      </w:r>
      <w:r w:rsidR="007D0296">
        <w:rPr>
          <w:rFonts w:eastAsia="Times New Roman" w:cs="Arial"/>
          <w:lang w:eastAsia="en-GB"/>
        </w:rPr>
        <w:t>t</w:t>
      </w:r>
      <w:r w:rsidR="007D0296" w:rsidRPr="007D0296">
        <w:rPr>
          <w:rFonts w:eastAsia="Times New Roman" w:cs="Arial"/>
          <w:lang w:eastAsia="en-GB"/>
        </w:rPr>
        <w:t>esting</w:t>
      </w:r>
      <w:r w:rsidR="007D0296">
        <w:rPr>
          <w:rFonts w:eastAsia="Times New Roman" w:cs="Arial"/>
          <w:lang w:eastAsia="en-GB"/>
        </w:rPr>
        <w:t xml:space="preserve">, which are </w:t>
      </w:r>
      <w:r w:rsidR="007D0296" w:rsidRPr="007D0296">
        <w:rPr>
          <w:rFonts w:eastAsia="Times New Roman" w:cs="Arial"/>
          <w:lang w:eastAsia="en-GB"/>
        </w:rPr>
        <w:t xml:space="preserve">offset by </w:t>
      </w:r>
      <w:r w:rsidR="007D0296">
        <w:rPr>
          <w:rFonts w:eastAsia="Times New Roman" w:cs="Arial"/>
          <w:lang w:eastAsia="en-GB"/>
        </w:rPr>
        <w:t>e</w:t>
      </w:r>
      <w:r w:rsidR="007D0296" w:rsidRPr="007D0296">
        <w:rPr>
          <w:rFonts w:eastAsia="Times New Roman" w:cs="Arial"/>
          <w:lang w:eastAsia="en-GB"/>
        </w:rPr>
        <w:t xml:space="preserve">nvironmental </w:t>
      </w:r>
      <w:r w:rsidR="007D0296">
        <w:rPr>
          <w:rFonts w:eastAsia="Times New Roman" w:cs="Arial"/>
          <w:lang w:eastAsia="en-GB"/>
        </w:rPr>
        <w:t>t</w:t>
      </w:r>
      <w:r w:rsidR="007D0296" w:rsidRPr="007D0296">
        <w:rPr>
          <w:rFonts w:eastAsia="Times New Roman" w:cs="Arial"/>
          <w:lang w:eastAsia="en-GB"/>
        </w:rPr>
        <w:t>esting additional income.</w:t>
      </w:r>
      <w:r w:rsidRPr="00746994">
        <w:rPr>
          <w:rFonts w:eastAsia="Times New Roman" w:cs="Arial"/>
          <w:lang w:eastAsia="en-GB"/>
        </w:rPr>
        <w:t xml:space="preserve"> Some of the pressures experienced by the service are recurrent and will need to be addressed with changes made to ensure that the service operates within its agreed budget envelope.</w:t>
      </w:r>
      <w:r w:rsidRPr="000F78F1">
        <w:rPr>
          <w:rFonts w:eastAsia="Times New Roman" w:cs="Arial"/>
          <w:lang w:eastAsia="en-GB"/>
        </w:rPr>
        <w:t xml:space="preserve"> </w:t>
      </w:r>
    </w:p>
    <w:bookmarkEnd w:id="9"/>
    <w:p w14:paraId="5788E1C7"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394A653D"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761A95BF"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74EFB040"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2A498ECC"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62F7F236"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5D13F41B" w14:textId="77777777" w:rsidR="000F78F1" w:rsidRPr="000F78F1" w:rsidRDefault="000F78F1" w:rsidP="000F78F1">
      <w:pPr>
        <w:spacing w:after="0"/>
        <w:textAlignment w:val="baseline"/>
        <w:rPr>
          <w:rFonts w:ascii="Segoe UI" w:eastAsia="Times New Roman" w:hAnsi="Segoe UI" w:cs="Segoe UI"/>
          <w:sz w:val="18"/>
          <w:szCs w:val="18"/>
          <w:highlight w:val="yellow"/>
          <w:lang w:eastAsia="en-GB"/>
        </w:rPr>
      </w:pPr>
    </w:p>
    <w:p w14:paraId="10A34E36" w14:textId="15DAEF5C" w:rsidR="00C75BA1" w:rsidRDefault="00C75BA1" w:rsidP="000F78F1">
      <w:pPr>
        <w:spacing w:after="0"/>
        <w:textAlignment w:val="baseline"/>
        <w:rPr>
          <w:rFonts w:ascii="Segoe UI" w:eastAsia="Times New Roman" w:hAnsi="Segoe UI" w:cs="Segoe UI"/>
          <w:sz w:val="18"/>
          <w:szCs w:val="18"/>
          <w:highlight w:val="yellow"/>
          <w:lang w:eastAsia="en-GB"/>
        </w:rPr>
      </w:pPr>
    </w:p>
    <w:p w14:paraId="719D75BB" w14:textId="44E67C10" w:rsidR="00940D73" w:rsidRDefault="00940D73" w:rsidP="000F78F1">
      <w:pPr>
        <w:spacing w:after="0"/>
        <w:textAlignment w:val="baseline"/>
        <w:rPr>
          <w:rFonts w:ascii="Segoe UI" w:eastAsia="Times New Roman" w:hAnsi="Segoe UI" w:cs="Segoe UI"/>
          <w:sz w:val="18"/>
          <w:szCs w:val="18"/>
          <w:highlight w:val="yellow"/>
          <w:lang w:eastAsia="en-GB"/>
        </w:rPr>
      </w:pPr>
    </w:p>
    <w:p w14:paraId="41AF7963"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7618A6F6"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29216FEC"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6D85AC46"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6D013494"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73C3D702"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4C250346"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42E1BD51"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5662BD2D"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196696DB"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58C3F238"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0484ED9A"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479EB0AF"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7932C4F8"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4D26267A"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2DC8EB8A"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0B006EC8"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3EE63FFD" w14:textId="77777777" w:rsidR="0068465A" w:rsidRDefault="0068465A" w:rsidP="000F78F1">
      <w:pPr>
        <w:spacing w:after="0"/>
        <w:textAlignment w:val="baseline"/>
        <w:rPr>
          <w:rFonts w:ascii="Segoe UI" w:eastAsia="Times New Roman" w:hAnsi="Segoe UI" w:cs="Segoe UI"/>
          <w:sz w:val="18"/>
          <w:szCs w:val="18"/>
          <w:highlight w:val="yellow"/>
          <w:lang w:eastAsia="en-GB"/>
        </w:rPr>
      </w:pPr>
    </w:p>
    <w:p w14:paraId="694B6FED" w14:textId="77777777" w:rsidR="00FF25D3" w:rsidRDefault="00FF25D3" w:rsidP="000F78F1">
      <w:pPr>
        <w:spacing w:after="0"/>
        <w:textAlignment w:val="baseline"/>
        <w:rPr>
          <w:rFonts w:ascii="Segoe UI" w:eastAsia="Times New Roman" w:hAnsi="Segoe UI" w:cs="Segoe UI"/>
          <w:sz w:val="18"/>
          <w:szCs w:val="18"/>
          <w:highlight w:val="yellow"/>
          <w:lang w:eastAsia="en-GB"/>
        </w:rPr>
      </w:pPr>
    </w:p>
    <w:p w14:paraId="405333E8" w14:textId="77777777" w:rsidR="005841F9" w:rsidRDefault="005841F9" w:rsidP="000F78F1">
      <w:pPr>
        <w:spacing w:after="0"/>
        <w:textAlignment w:val="baseline"/>
        <w:rPr>
          <w:rFonts w:ascii="Segoe UI" w:eastAsia="Times New Roman" w:hAnsi="Segoe UI" w:cs="Segoe UI"/>
          <w:sz w:val="18"/>
          <w:szCs w:val="18"/>
          <w:highlight w:val="yellow"/>
          <w:lang w:eastAsia="en-GB"/>
        </w:rPr>
      </w:pPr>
    </w:p>
    <w:p w14:paraId="593239D1" w14:textId="77777777" w:rsidR="00940D73" w:rsidRDefault="00940D73" w:rsidP="000F78F1">
      <w:pPr>
        <w:spacing w:after="0"/>
        <w:textAlignment w:val="baseline"/>
        <w:rPr>
          <w:rFonts w:ascii="Segoe UI" w:eastAsia="Times New Roman" w:hAnsi="Segoe UI" w:cs="Segoe UI"/>
          <w:sz w:val="18"/>
          <w:szCs w:val="18"/>
          <w:highlight w:val="yellow"/>
          <w:lang w:eastAsia="en-GB"/>
        </w:rPr>
      </w:pPr>
    </w:p>
    <w:p w14:paraId="0D997FF1" w14:textId="77777777" w:rsidR="00611890" w:rsidRDefault="00611890" w:rsidP="000F78F1">
      <w:pPr>
        <w:spacing w:after="0"/>
        <w:textAlignment w:val="baseline"/>
        <w:rPr>
          <w:rFonts w:ascii="Segoe UI" w:eastAsia="Times New Roman" w:hAnsi="Segoe UI" w:cs="Segoe UI"/>
          <w:sz w:val="18"/>
          <w:szCs w:val="18"/>
          <w:highlight w:val="yellow"/>
          <w:lang w:eastAsia="en-GB"/>
        </w:rPr>
      </w:pPr>
    </w:p>
    <w:p w14:paraId="76655EAA" w14:textId="77777777" w:rsidR="007A02ED" w:rsidRPr="000F78F1" w:rsidRDefault="007A02ED" w:rsidP="000F78F1">
      <w:pPr>
        <w:spacing w:after="0"/>
        <w:textAlignment w:val="baseline"/>
        <w:rPr>
          <w:rFonts w:ascii="Segoe UI" w:eastAsia="Times New Roman" w:hAnsi="Segoe UI" w:cs="Segoe UI"/>
          <w:sz w:val="18"/>
          <w:szCs w:val="18"/>
          <w:highlight w:val="yellow"/>
          <w:lang w:eastAsia="en-GB"/>
        </w:rPr>
      </w:pPr>
    </w:p>
    <w:p w14:paraId="0BDD0512" w14:textId="77777777" w:rsidR="000F78F1" w:rsidRPr="000F78F1" w:rsidRDefault="000F78F1" w:rsidP="000F78F1">
      <w:pPr>
        <w:numPr>
          <w:ilvl w:val="0"/>
          <w:numId w:val="5"/>
        </w:numPr>
        <w:autoSpaceDE/>
        <w:autoSpaceDN/>
        <w:adjustRightInd/>
        <w:spacing w:after="0"/>
        <w:contextualSpacing/>
        <w:rPr>
          <w:rFonts w:cs="Arial"/>
          <w:b/>
        </w:rPr>
      </w:pPr>
      <w:bookmarkStart w:id="12" w:name="_Hlk118901458"/>
      <w:bookmarkStart w:id="13" w:name="_Hlk124880371"/>
      <w:r w:rsidRPr="000F78F1">
        <w:rPr>
          <w:rFonts w:cs="Arial"/>
          <w:b/>
          <w:u w:val="single"/>
        </w:rPr>
        <w:lastRenderedPageBreak/>
        <w:t>Education and Children's Services Directorate</w:t>
      </w:r>
    </w:p>
    <w:p w14:paraId="39184D45" w14:textId="77777777" w:rsidR="000F78F1" w:rsidRPr="000F78F1" w:rsidRDefault="000F78F1" w:rsidP="000F78F1">
      <w:pPr>
        <w:autoSpaceDE/>
        <w:autoSpaceDN/>
        <w:adjustRightInd/>
        <w:spacing w:after="0"/>
        <w:ind w:left="720"/>
        <w:contextualSpacing/>
        <w:rPr>
          <w:rFonts w:cs="Arial"/>
          <w:b/>
          <w:u w:val="single"/>
        </w:rPr>
      </w:pPr>
    </w:p>
    <w:tbl>
      <w:tblPr>
        <w:tblW w:w="9553" w:type="dxa"/>
        <w:tblLook w:val="04A0" w:firstRow="1" w:lastRow="0" w:firstColumn="1" w:lastColumn="0" w:noHBand="0" w:noVBand="1"/>
      </w:tblPr>
      <w:tblGrid>
        <w:gridCol w:w="4091"/>
        <w:gridCol w:w="1084"/>
        <w:gridCol w:w="1084"/>
        <w:gridCol w:w="1050"/>
        <w:gridCol w:w="1050"/>
        <w:gridCol w:w="1194"/>
      </w:tblGrid>
      <w:tr w:rsidR="00C75BA1" w:rsidRPr="00C75BA1" w14:paraId="766838E6" w14:textId="77777777" w:rsidTr="00C75BA1">
        <w:trPr>
          <w:trHeight w:val="733"/>
        </w:trPr>
        <w:tc>
          <w:tcPr>
            <w:tcW w:w="4260" w:type="dxa"/>
            <w:tcBorders>
              <w:top w:val="single" w:sz="4" w:space="0" w:color="auto"/>
              <w:left w:val="single" w:sz="4" w:space="0" w:color="auto"/>
              <w:bottom w:val="nil"/>
              <w:right w:val="nil"/>
            </w:tcBorders>
            <w:shd w:val="clear" w:color="000000" w:fill="D9D9D9"/>
            <w:vAlign w:val="center"/>
            <w:hideMark/>
          </w:tcPr>
          <w:p w14:paraId="56B6DC2C"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Service Area</w:t>
            </w:r>
          </w:p>
        </w:tc>
        <w:tc>
          <w:tcPr>
            <w:tcW w:w="939" w:type="dxa"/>
            <w:tcBorders>
              <w:top w:val="single" w:sz="4" w:space="0" w:color="auto"/>
              <w:left w:val="single" w:sz="4" w:space="0" w:color="auto"/>
              <w:bottom w:val="nil"/>
              <w:right w:val="single" w:sz="4" w:space="0" w:color="auto"/>
            </w:tcBorders>
            <w:shd w:val="clear" w:color="000000" w:fill="D9D9D9"/>
            <w:vAlign w:val="center"/>
            <w:hideMark/>
          </w:tcPr>
          <w:p w14:paraId="4029749A"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xml:space="preserve">Net Budget </w:t>
            </w:r>
          </w:p>
        </w:tc>
        <w:tc>
          <w:tcPr>
            <w:tcW w:w="1050" w:type="dxa"/>
            <w:tcBorders>
              <w:top w:val="single" w:sz="4" w:space="0" w:color="auto"/>
              <w:left w:val="nil"/>
              <w:bottom w:val="nil"/>
              <w:right w:val="nil"/>
            </w:tcBorders>
            <w:shd w:val="clear" w:color="000000" w:fill="D9D9D9"/>
            <w:vAlign w:val="center"/>
            <w:hideMark/>
          </w:tcPr>
          <w:p w14:paraId="116B1203"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xml:space="preserve">Net Forecast Outturn </w:t>
            </w:r>
          </w:p>
        </w:tc>
        <w:tc>
          <w:tcPr>
            <w:tcW w:w="1050" w:type="dxa"/>
            <w:tcBorders>
              <w:top w:val="single" w:sz="4" w:space="0" w:color="auto"/>
              <w:left w:val="single" w:sz="4" w:space="0" w:color="auto"/>
              <w:bottom w:val="nil"/>
              <w:right w:val="single" w:sz="4" w:space="0" w:color="auto"/>
            </w:tcBorders>
            <w:shd w:val="clear" w:color="000000" w:fill="D9D9D9"/>
            <w:vAlign w:val="center"/>
            <w:hideMark/>
          </w:tcPr>
          <w:p w14:paraId="539EBD4D"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Net Forecast Variance</w:t>
            </w:r>
          </w:p>
        </w:tc>
        <w:tc>
          <w:tcPr>
            <w:tcW w:w="1050" w:type="dxa"/>
            <w:tcBorders>
              <w:top w:val="single" w:sz="4" w:space="0" w:color="auto"/>
              <w:left w:val="nil"/>
              <w:bottom w:val="nil"/>
              <w:right w:val="nil"/>
            </w:tcBorders>
            <w:shd w:val="clear" w:color="000000" w:fill="D9D9D9"/>
            <w:vAlign w:val="center"/>
            <w:hideMark/>
          </w:tcPr>
          <w:p w14:paraId="0BD1265E"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Net Forecast Variance</w:t>
            </w:r>
          </w:p>
        </w:tc>
        <w:tc>
          <w:tcPr>
            <w:tcW w:w="1204" w:type="dxa"/>
            <w:tcBorders>
              <w:top w:val="single" w:sz="4" w:space="0" w:color="auto"/>
              <w:left w:val="single" w:sz="4" w:space="0" w:color="auto"/>
              <w:bottom w:val="nil"/>
              <w:right w:val="single" w:sz="4" w:space="0" w:color="auto"/>
            </w:tcBorders>
            <w:shd w:val="clear" w:color="000000" w:fill="D9D9D9"/>
            <w:vAlign w:val="center"/>
            <w:hideMark/>
          </w:tcPr>
          <w:p w14:paraId="71B98D22"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Q2 Variance</w:t>
            </w:r>
          </w:p>
        </w:tc>
      </w:tr>
      <w:tr w:rsidR="00C75BA1" w:rsidRPr="00C75BA1" w14:paraId="0E143792" w14:textId="77777777" w:rsidTr="00C75BA1">
        <w:trPr>
          <w:trHeight w:val="287"/>
        </w:trPr>
        <w:tc>
          <w:tcPr>
            <w:tcW w:w="4260" w:type="dxa"/>
            <w:tcBorders>
              <w:top w:val="nil"/>
              <w:left w:val="single" w:sz="4" w:space="0" w:color="auto"/>
              <w:bottom w:val="single" w:sz="4" w:space="0" w:color="auto"/>
              <w:right w:val="nil"/>
            </w:tcBorders>
            <w:shd w:val="clear" w:color="000000" w:fill="D9D9D9"/>
            <w:vAlign w:val="center"/>
            <w:hideMark/>
          </w:tcPr>
          <w:p w14:paraId="175BD0F5"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w:t>
            </w:r>
          </w:p>
        </w:tc>
        <w:tc>
          <w:tcPr>
            <w:tcW w:w="939" w:type="dxa"/>
            <w:tcBorders>
              <w:top w:val="nil"/>
              <w:left w:val="single" w:sz="4" w:space="0" w:color="auto"/>
              <w:bottom w:val="single" w:sz="4" w:space="0" w:color="auto"/>
              <w:right w:val="single" w:sz="4" w:space="0" w:color="auto"/>
            </w:tcBorders>
            <w:shd w:val="clear" w:color="000000" w:fill="D9D9D9"/>
            <w:vAlign w:val="center"/>
            <w:hideMark/>
          </w:tcPr>
          <w:p w14:paraId="386C1528"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1050" w:type="dxa"/>
            <w:tcBorders>
              <w:top w:val="nil"/>
              <w:left w:val="nil"/>
              <w:bottom w:val="single" w:sz="4" w:space="0" w:color="auto"/>
              <w:right w:val="nil"/>
            </w:tcBorders>
            <w:shd w:val="clear" w:color="000000" w:fill="D9D9D9"/>
            <w:vAlign w:val="center"/>
            <w:hideMark/>
          </w:tcPr>
          <w:p w14:paraId="25746451"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1050" w:type="dxa"/>
            <w:tcBorders>
              <w:top w:val="nil"/>
              <w:left w:val="single" w:sz="4" w:space="0" w:color="auto"/>
              <w:bottom w:val="single" w:sz="4" w:space="0" w:color="auto"/>
              <w:right w:val="single" w:sz="4" w:space="0" w:color="auto"/>
            </w:tcBorders>
            <w:shd w:val="clear" w:color="000000" w:fill="D9D9D9"/>
            <w:vAlign w:val="center"/>
            <w:hideMark/>
          </w:tcPr>
          <w:p w14:paraId="7D394785"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1050" w:type="dxa"/>
            <w:tcBorders>
              <w:top w:val="nil"/>
              <w:left w:val="nil"/>
              <w:bottom w:val="single" w:sz="4" w:space="0" w:color="auto"/>
              <w:right w:val="nil"/>
            </w:tcBorders>
            <w:shd w:val="clear" w:color="000000" w:fill="D9D9D9"/>
            <w:vAlign w:val="center"/>
            <w:hideMark/>
          </w:tcPr>
          <w:p w14:paraId="1979C031"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w:t>
            </w:r>
          </w:p>
        </w:tc>
        <w:tc>
          <w:tcPr>
            <w:tcW w:w="1204" w:type="dxa"/>
            <w:tcBorders>
              <w:top w:val="nil"/>
              <w:left w:val="single" w:sz="4" w:space="0" w:color="auto"/>
              <w:bottom w:val="single" w:sz="4" w:space="0" w:color="auto"/>
              <w:right w:val="single" w:sz="4" w:space="0" w:color="auto"/>
            </w:tcBorders>
            <w:shd w:val="clear" w:color="000000" w:fill="D9D9D9"/>
            <w:vAlign w:val="center"/>
            <w:hideMark/>
          </w:tcPr>
          <w:p w14:paraId="6ECEC97A" w14:textId="77777777" w:rsidR="00C75BA1" w:rsidRPr="00C75BA1" w:rsidRDefault="00C75BA1" w:rsidP="00C75BA1">
            <w:pPr>
              <w:autoSpaceDE/>
              <w:autoSpaceDN/>
              <w:adjustRightInd/>
              <w:spacing w:after="0"/>
              <w:jc w:val="center"/>
              <w:rPr>
                <w:rFonts w:eastAsia="Times New Roman" w:cs="Arial"/>
                <w:b/>
                <w:bCs/>
                <w:color w:val="auto"/>
                <w:sz w:val="20"/>
                <w:szCs w:val="20"/>
                <w:lang w:eastAsia="en-GB"/>
              </w:rPr>
            </w:pPr>
            <w:r w:rsidRPr="00C75BA1">
              <w:rPr>
                <w:rFonts w:eastAsia="Times New Roman" w:cs="Arial"/>
                <w:b/>
                <w:bCs/>
                <w:color w:val="auto"/>
                <w:sz w:val="20"/>
                <w:szCs w:val="20"/>
                <w:lang w:eastAsia="en-GB"/>
              </w:rPr>
              <w:t>£m</w:t>
            </w:r>
          </w:p>
        </w:tc>
      </w:tr>
      <w:tr w:rsidR="00C75BA1" w:rsidRPr="00C75BA1" w14:paraId="0BBF793E" w14:textId="77777777" w:rsidTr="00C75BA1">
        <w:trPr>
          <w:trHeight w:val="287"/>
        </w:trPr>
        <w:tc>
          <w:tcPr>
            <w:tcW w:w="4260" w:type="dxa"/>
            <w:tcBorders>
              <w:top w:val="nil"/>
              <w:left w:val="single" w:sz="4" w:space="0" w:color="auto"/>
              <w:bottom w:val="single" w:sz="4" w:space="0" w:color="auto"/>
              <w:right w:val="single" w:sz="4" w:space="0" w:color="auto"/>
            </w:tcBorders>
            <w:shd w:val="clear" w:color="000000" w:fill="D9D9D9"/>
            <w:vAlign w:val="center"/>
            <w:hideMark/>
          </w:tcPr>
          <w:p w14:paraId="38A4A565"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Front Door, Assessment &amp; Adolescent Services</w:t>
            </w:r>
          </w:p>
        </w:tc>
        <w:tc>
          <w:tcPr>
            <w:tcW w:w="939" w:type="dxa"/>
            <w:tcBorders>
              <w:top w:val="nil"/>
              <w:left w:val="nil"/>
              <w:bottom w:val="single" w:sz="4" w:space="0" w:color="auto"/>
              <w:right w:val="single" w:sz="4" w:space="0" w:color="auto"/>
            </w:tcBorders>
            <w:shd w:val="clear" w:color="auto" w:fill="auto"/>
            <w:vAlign w:val="center"/>
            <w:hideMark/>
          </w:tcPr>
          <w:p w14:paraId="1F69E6D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11.984</w:t>
            </w:r>
          </w:p>
        </w:tc>
        <w:tc>
          <w:tcPr>
            <w:tcW w:w="1050" w:type="dxa"/>
            <w:tcBorders>
              <w:top w:val="nil"/>
              <w:left w:val="nil"/>
              <w:bottom w:val="single" w:sz="4" w:space="0" w:color="auto"/>
              <w:right w:val="single" w:sz="4" w:space="0" w:color="auto"/>
            </w:tcBorders>
            <w:shd w:val="clear" w:color="auto" w:fill="auto"/>
            <w:vAlign w:val="center"/>
            <w:hideMark/>
          </w:tcPr>
          <w:p w14:paraId="3CCA779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12.732</w:t>
            </w:r>
          </w:p>
        </w:tc>
        <w:tc>
          <w:tcPr>
            <w:tcW w:w="1050" w:type="dxa"/>
            <w:tcBorders>
              <w:top w:val="nil"/>
              <w:left w:val="nil"/>
              <w:bottom w:val="single" w:sz="4" w:space="0" w:color="auto"/>
              <w:right w:val="single" w:sz="4" w:space="0" w:color="auto"/>
            </w:tcBorders>
            <w:shd w:val="clear" w:color="000000" w:fill="D9D9D9"/>
            <w:vAlign w:val="center"/>
            <w:hideMark/>
          </w:tcPr>
          <w:p w14:paraId="3E5AA46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0.748</w:t>
            </w:r>
          </w:p>
        </w:tc>
        <w:tc>
          <w:tcPr>
            <w:tcW w:w="1050" w:type="dxa"/>
            <w:tcBorders>
              <w:top w:val="nil"/>
              <w:left w:val="nil"/>
              <w:bottom w:val="single" w:sz="4" w:space="0" w:color="auto"/>
              <w:right w:val="single" w:sz="4" w:space="0" w:color="auto"/>
            </w:tcBorders>
            <w:shd w:val="clear" w:color="auto" w:fill="auto"/>
            <w:vAlign w:val="center"/>
            <w:hideMark/>
          </w:tcPr>
          <w:p w14:paraId="36613D3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6.24%</w:t>
            </w:r>
          </w:p>
        </w:tc>
        <w:tc>
          <w:tcPr>
            <w:tcW w:w="1204" w:type="dxa"/>
            <w:tcBorders>
              <w:top w:val="nil"/>
              <w:left w:val="nil"/>
              <w:bottom w:val="single" w:sz="4" w:space="0" w:color="auto"/>
              <w:right w:val="single" w:sz="4" w:space="0" w:color="auto"/>
            </w:tcBorders>
            <w:shd w:val="clear" w:color="000000" w:fill="D9D9D9"/>
            <w:vAlign w:val="center"/>
            <w:hideMark/>
          </w:tcPr>
          <w:p w14:paraId="4B7612E3"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0.524</w:t>
            </w:r>
          </w:p>
        </w:tc>
      </w:tr>
      <w:tr w:rsidR="00C75BA1" w:rsidRPr="00C75BA1" w14:paraId="4AAA7680" w14:textId="77777777" w:rsidTr="00C75BA1">
        <w:trPr>
          <w:trHeight w:val="287"/>
        </w:trPr>
        <w:tc>
          <w:tcPr>
            <w:tcW w:w="4260" w:type="dxa"/>
            <w:tcBorders>
              <w:top w:val="nil"/>
              <w:left w:val="single" w:sz="4" w:space="0" w:color="auto"/>
              <w:bottom w:val="single" w:sz="4" w:space="0" w:color="auto"/>
              <w:right w:val="single" w:sz="4" w:space="0" w:color="auto"/>
            </w:tcBorders>
            <w:shd w:val="clear" w:color="000000" w:fill="D9D9D9"/>
            <w:vAlign w:val="center"/>
            <w:hideMark/>
          </w:tcPr>
          <w:p w14:paraId="4B9AECC8"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Family Safeguarding</w:t>
            </w:r>
          </w:p>
        </w:tc>
        <w:tc>
          <w:tcPr>
            <w:tcW w:w="939" w:type="dxa"/>
            <w:tcBorders>
              <w:top w:val="nil"/>
              <w:left w:val="nil"/>
              <w:bottom w:val="single" w:sz="4" w:space="0" w:color="auto"/>
              <w:right w:val="single" w:sz="4" w:space="0" w:color="auto"/>
            </w:tcBorders>
            <w:shd w:val="clear" w:color="auto" w:fill="auto"/>
            <w:vAlign w:val="center"/>
            <w:hideMark/>
          </w:tcPr>
          <w:p w14:paraId="117A836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12.425</w:t>
            </w:r>
          </w:p>
        </w:tc>
        <w:tc>
          <w:tcPr>
            <w:tcW w:w="1050" w:type="dxa"/>
            <w:tcBorders>
              <w:top w:val="nil"/>
              <w:left w:val="nil"/>
              <w:bottom w:val="single" w:sz="4" w:space="0" w:color="auto"/>
              <w:right w:val="single" w:sz="4" w:space="0" w:color="auto"/>
            </w:tcBorders>
            <w:shd w:val="clear" w:color="auto" w:fill="auto"/>
            <w:vAlign w:val="center"/>
            <w:hideMark/>
          </w:tcPr>
          <w:p w14:paraId="241002F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15.724</w:t>
            </w:r>
          </w:p>
        </w:tc>
        <w:tc>
          <w:tcPr>
            <w:tcW w:w="1050" w:type="dxa"/>
            <w:tcBorders>
              <w:top w:val="nil"/>
              <w:left w:val="nil"/>
              <w:bottom w:val="single" w:sz="4" w:space="0" w:color="auto"/>
              <w:right w:val="single" w:sz="4" w:space="0" w:color="auto"/>
            </w:tcBorders>
            <w:shd w:val="clear" w:color="000000" w:fill="D9D9D9"/>
            <w:vAlign w:val="center"/>
            <w:hideMark/>
          </w:tcPr>
          <w:p w14:paraId="154DF9C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3.298</w:t>
            </w:r>
          </w:p>
        </w:tc>
        <w:tc>
          <w:tcPr>
            <w:tcW w:w="1050" w:type="dxa"/>
            <w:tcBorders>
              <w:top w:val="nil"/>
              <w:left w:val="nil"/>
              <w:bottom w:val="single" w:sz="4" w:space="0" w:color="auto"/>
              <w:right w:val="single" w:sz="4" w:space="0" w:color="auto"/>
            </w:tcBorders>
            <w:shd w:val="clear" w:color="auto" w:fill="auto"/>
            <w:vAlign w:val="center"/>
            <w:hideMark/>
          </w:tcPr>
          <w:p w14:paraId="6B73DE1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26.55%</w:t>
            </w:r>
          </w:p>
        </w:tc>
        <w:tc>
          <w:tcPr>
            <w:tcW w:w="1204" w:type="dxa"/>
            <w:tcBorders>
              <w:top w:val="nil"/>
              <w:left w:val="nil"/>
              <w:bottom w:val="single" w:sz="4" w:space="0" w:color="auto"/>
              <w:right w:val="single" w:sz="4" w:space="0" w:color="auto"/>
            </w:tcBorders>
            <w:shd w:val="clear" w:color="000000" w:fill="D9D9D9"/>
            <w:vAlign w:val="center"/>
            <w:hideMark/>
          </w:tcPr>
          <w:p w14:paraId="571B3AC5"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2.794</w:t>
            </w:r>
          </w:p>
        </w:tc>
      </w:tr>
      <w:tr w:rsidR="00C75BA1" w:rsidRPr="00C75BA1" w14:paraId="5F1481B5" w14:textId="77777777" w:rsidTr="00C75BA1">
        <w:trPr>
          <w:trHeight w:val="287"/>
        </w:trPr>
        <w:tc>
          <w:tcPr>
            <w:tcW w:w="4260" w:type="dxa"/>
            <w:tcBorders>
              <w:top w:val="nil"/>
              <w:left w:val="single" w:sz="4" w:space="0" w:color="auto"/>
              <w:bottom w:val="single" w:sz="4" w:space="0" w:color="auto"/>
              <w:right w:val="single" w:sz="4" w:space="0" w:color="auto"/>
            </w:tcBorders>
            <w:shd w:val="clear" w:color="000000" w:fill="D9D9D9"/>
            <w:vAlign w:val="center"/>
            <w:hideMark/>
          </w:tcPr>
          <w:p w14:paraId="0890EBAA"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CSC: Looked After Children/Leaving Care</w:t>
            </w:r>
          </w:p>
        </w:tc>
        <w:tc>
          <w:tcPr>
            <w:tcW w:w="939" w:type="dxa"/>
            <w:tcBorders>
              <w:top w:val="nil"/>
              <w:left w:val="nil"/>
              <w:bottom w:val="single" w:sz="4" w:space="0" w:color="auto"/>
              <w:right w:val="single" w:sz="4" w:space="0" w:color="auto"/>
            </w:tcBorders>
            <w:shd w:val="clear" w:color="auto" w:fill="auto"/>
            <w:vAlign w:val="center"/>
            <w:hideMark/>
          </w:tcPr>
          <w:p w14:paraId="3AAD801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112.763</w:t>
            </w:r>
          </w:p>
        </w:tc>
        <w:tc>
          <w:tcPr>
            <w:tcW w:w="1050" w:type="dxa"/>
            <w:tcBorders>
              <w:top w:val="nil"/>
              <w:left w:val="nil"/>
              <w:bottom w:val="single" w:sz="4" w:space="0" w:color="auto"/>
              <w:right w:val="single" w:sz="4" w:space="0" w:color="auto"/>
            </w:tcBorders>
            <w:shd w:val="clear" w:color="auto" w:fill="auto"/>
            <w:vAlign w:val="center"/>
            <w:hideMark/>
          </w:tcPr>
          <w:p w14:paraId="2D18006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120.501</w:t>
            </w:r>
          </w:p>
        </w:tc>
        <w:tc>
          <w:tcPr>
            <w:tcW w:w="1050" w:type="dxa"/>
            <w:tcBorders>
              <w:top w:val="nil"/>
              <w:left w:val="nil"/>
              <w:bottom w:val="single" w:sz="4" w:space="0" w:color="auto"/>
              <w:right w:val="single" w:sz="4" w:space="0" w:color="auto"/>
            </w:tcBorders>
            <w:shd w:val="clear" w:color="000000" w:fill="D9D9D9"/>
            <w:vAlign w:val="center"/>
            <w:hideMark/>
          </w:tcPr>
          <w:p w14:paraId="0CD4F1B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7.738</w:t>
            </w:r>
          </w:p>
        </w:tc>
        <w:tc>
          <w:tcPr>
            <w:tcW w:w="1050" w:type="dxa"/>
            <w:tcBorders>
              <w:top w:val="nil"/>
              <w:left w:val="nil"/>
              <w:bottom w:val="single" w:sz="4" w:space="0" w:color="auto"/>
              <w:right w:val="single" w:sz="4" w:space="0" w:color="auto"/>
            </w:tcBorders>
            <w:shd w:val="clear" w:color="auto" w:fill="auto"/>
            <w:vAlign w:val="center"/>
            <w:hideMark/>
          </w:tcPr>
          <w:p w14:paraId="604917E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6.86%</w:t>
            </w:r>
          </w:p>
        </w:tc>
        <w:tc>
          <w:tcPr>
            <w:tcW w:w="1204" w:type="dxa"/>
            <w:tcBorders>
              <w:top w:val="nil"/>
              <w:left w:val="nil"/>
              <w:bottom w:val="single" w:sz="4" w:space="0" w:color="auto"/>
              <w:right w:val="single" w:sz="4" w:space="0" w:color="auto"/>
            </w:tcBorders>
            <w:shd w:val="clear" w:color="000000" w:fill="D9D9D9"/>
            <w:vAlign w:val="center"/>
            <w:hideMark/>
          </w:tcPr>
          <w:p w14:paraId="6F27A5E7"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6.908</w:t>
            </w:r>
          </w:p>
        </w:tc>
      </w:tr>
      <w:tr w:rsidR="00C75BA1" w:rsidRPr="00C75BA1" w14:paraId="0CA0E2EC" w14:textId="77777777" w:rsidTr="00C75BA1">
        <w:trPr>
          <w:trHeight w:val="359"/>
        </w:trPr>
        <w:tc>
          <w:tcPr>
            <w:tcW w:w="4260" w:type="dxa"/>
            <w:tcBorders>
              <w:top w:val="nil"/>
              <w:left w:val="single" w:sz="4" w:space="0" w:color="auto"/>
              <w:bottom w:val="single" w:sz="4" w:space="0" w:color="auto"/>
              <w:right w:val="single" w:sz="4" w:space="0" w:color="auto"/>
            </w:tcBorders>
            <w:shd w:val="clear" w:color="000000" w:fill="D9D9D9"/>
            <w:vAlign w:val="center"/>
            <w:hideMark/>
          </w:tcPr>
          <w:p w14:paraId="30C0E116"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 xml:space="preserve">Fostering, Adoption Lancashire Blackpool &amp; </w:t>
            </w:r>
            <w:proofErr w:type="spellStart"/>
            <w:r w:rsidRPr="00C75BA1">
              <w:rPr>
                <w:rFonts w:eastAsia="Times New Roman" w:cs="Arial"/>
                <w:sz w:val="20"/>
                <w:szCs w:val="20"/>
                <w:lang w:eastAsia="en-GB"/>
              </w:rPr>
              <w:t>Residen</w:t>
            </w:r>
            <w:proofErr w:type="spellEnd"/>
          </w:p>
        </w:tc>
        <w:tc>
          <w:tcPr>
            <w:tcW w:w="939" w:type="dxa"/>
            <w:tcBorders>
              <w:top w:val="nil"/>
              <w:left w:val="nil"/>
              <w:bottom w:val="single" w:sz="4" w:space="0" w:color="auto"/>
              <w:right w:val="single" w:sz="4" w:space="0" w:color="auto"/>
            </w:tcBorders>
            <w:shd w:val="clear" w:color="auto" w:fill="auto"/>
            <w:vAlign w:val="center"/>
            <w:hideMark/>
          </w:tcPr>
          <w:p w14:paraId="7287C4C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36.934</w:t>
            </w:r>
          </w:p>
        </w:tc>
        <w:tc>
          <w:tcPr>
            <w:tcW w:w="1050" w:type="dxa"/>
            <w:tcBorders>
              <w:top w:val="nil"/>
              <w:left w:val="nil"/>
              <w:bottom w:val="single" w:sz="4" w:space="0" w:color="auto"/>
              <w:right w:val="single" w:sz="4" w:space="0" w:color="auto"/>
            </w:tcBorders>
            <w:shd w:val="clear" w:color="auto" w:fill="auto"/>
            <w:vAlign w:val="center"/>
            <w:hideMark/>
          </w:tcPr>
          <w:p w14:paraId="5D952AE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37.681</w:t>
            </w:r>
          </w:p>
        </w:tc>
        <w:tc>
          <w:tcPr>
            <w:tcW w:w="1050" w:type="dxa"/>
            <w:tcBorders>
              <w:top w:val="nil"/>
              <w:left w:val="nil"/>
              <w:bottom w:val="single" w:sz="4" w:space="0" w:color="auto"/>
              <w:right w:val="single" w:sz="4" w:space="0" w:color="auto"/>
            </w:tcBorders>
            <w:shd w:val="clear" w:color="000000" w:fill="D9D9D9"/>
            <w:vAlign w:val="center"/>
            <w:hideMark/>
          </w:tcPr>
          <w:p w14:paraId="3E9C090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0.747</w:t>
            </w:r>
          </w:p>
        </w:tc>
        <w:tc>
          <w:tcPr>
            <w:tcW w:w="1050" w:type="dxa"/>
            <w:tcBorders>
              <w:top w:val="nil"/>
              <w:left w:val="nil"/>
              <w:bottom w:val="single" w:sz="4" w:space="0" w:color="auto"/>
              <w:right w:val="single" w:sz="4" w:space="0" w:color="auto"/>
            </w:tcBorders>
            <w:shd w:val="clear" w:color="auto" w:fill="auto"/>
            <w:vAlign w:val="center"/>
            <w:hideMark/>
          </w:tcPr>
          <w:p w14:paraId="0313505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2.02%</w:t>
            </w:r>
          </w:p>
        </w:tc>
        <w:tc>
          <w:tcPr>
            <w:tcW w:w="1204" w:type="dxa"/>
            <w:tcBorders>
              <w:top w:val="nil"/>
              <w:left w:val="nil"/>
              <w:bottom w:val="single" w:sz="4" w:space="0" w:color="auto"/>
              <w:right w:val="single" w:sz="4" w:space="0" w:color="auto"/>
            </w:tcBorders>
            <w:shd w:val="clear" w:color="000000" w:fill="D9D9D9"/>
            <w:vAlign w:val="center"/>
            <w:hideMark/>
          </w:tcPr>
          <w:p w14:paraId="16FD4085"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0.772</w:t>
            </w:r>
          </w:p>
        </w:tc>
      </w:tr>
      <w:tr w:rsidR="00C75BA1" w:rsidRPr="00C75BA1" w14:paraId="77B689BA" w14:textId="77777777" w:rsidTr="00C75BA1">
        <w:trPr>
          <w:trHeight w:val="287"/>
        </w:trPr>
        <w:tc>
          <w:tcPr>
            <w:tcW w:w="4260" w:type="dxa"/>
            <w:tcBorders>
              <w:top w:val="nil"/>
              <w:left w:val="single" w:sz="4" w:space="0" w:color="auto"/>
              <w:bottom w:val="single" w:sz="4" w:space="0" w:color="auto"/>
              <w:right w:val="single" w:sz="4" w:space="0" w:color="auto"/>
            </w:tcBorders>
            <w:shd w:val="clear" w:color="000000" w:fill="D9D9D9"/>
            <w:vAlign w:val="center"/>
            <w:hideMark/>
          </w:tcPr>
          <w:p w14:paraId="132E2F7C"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Family Safeguarding Project</w:t>
            </w:r>
          </w:p>
        </w:tc>
        <w:tc>
          <w:tcPr>
            <w:tcW w:w="939" w:type="dxa"/>
            <w:tcBorders>
              <w:top w:val="nil"/>
              <w:left w:val="nil"/>
              <w:bottom w:val="single" w:sz="4" w:space="0" w:color="auto"/>
              <w:right w:val="single" w:sz="4" w:space="0" w:color="auto"/>
            </w:tcBorders>
            <w:shd w:val="clear" w:color="auto" w:fill="auto"/>
            <w:vAlign w:val="center"/>
            <w:hideMark/>
          </w:tcPr>
          <w:p w14:paraId="6DE060E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0.087</w:t>
            </w:r>
          </w:p>
        </w:tc>
        <w:tc>
          <w:tcPr>
            <w:tcW w:w="1050" w:type="dxa"/>
            <w:tcBorders>
              <w:top w:val="nil"/>
              <w:left w:val="nil"/>
              <w:bottom w:val="single" w:sz="4" w:space="0" w:color="auto"/>
              <w:right w:val="single" w:sz="4" w:space="0" w:color="auto"/>
            </w:tcBorders>
            <w:shd w:val="clear" w:color="auto" w:fill="auto"/>
            <w:vAlign w:val="center"/>
            <w:hideMark/>
          </w:tcPr>
          <w:p w14:paraId="53F2EC0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0.087</w:t>
            </w:r>
          </w:p>
        </w:tc>
        <w:tc>
          <w:tcPr>
            <w:tcW w:w="1050" w:type="dxa"/>
            <w:tcBorders>
              <w:top w:val="nil"/>
              <w:left w:val="nil"/>
              <w:bottom w:val="single" w:sz="4" w:space="0" w:color="auto"/>
              <w:right w:val="single" w:sz="4" w:space="0" w:color="auto"/>
            </w:tcBorders>
            <w:shd w:val="clear" w:color="000000" w:fill="D9D9D9"/>
            <w:vAlign w:val="center"/>
            <w:hideMark/>
          </w:tcPr>
          <w:p w14:paraId="29561F5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14:paraId="67FE038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w:t>
            </w:r>
          </w:p>
        </w:tc>
        <w:tc>
          <w:tcPr>
            <w:tcW w:w="1204" w:type="dxa"/>
            <w:tcBorders>
              <w:top w:val="nil"/>
              <w:left w:val="nil"/>
              <w:bottom w:val="single" w:sz="4" w:space="0" w:color="auto"/>
              <w:right w:val="single" w:sz="4" w:space="0" w:color="auto"/>
            </w:tcBorders>
            <w:shd w:val="clear" w:color="000000" w:fill="D9D9D9"/>
            <w:vAlign w:val="center"/>
            <w:hideMark/>
          </w:tcPr>
          <w:p w14:paraId="16DB5773"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0.000</w:t>
            </w:r>
          </w:p>
        </w:tc>
      </w:tr>
      <w:tr w:rsidR="00C75BA1" w:rsidRPr="00C75BA1" w14:paraId="4BA4BC96" w14:textId="77777777" w:rsidTr="00C75BA1">
        <w:trPr>
          <w:trHeight w:val="301"/>
        </w:trPr>
        <w:tc>
          <w:tcPr>
            <w:tcW w:w="4260" w:type="dxa"/>
            <w:tcBorders>
              <w:top w:val="nil"/>
              <w:left w:val="single" w:sz="4" w:space="0" w:color="auto"/>
              <w:bottom w:val="single" w:sz="8" w:space="0" w:color="auto"/>
              <w:right w:val="single" w:sz="4" w:space="0" w:color="auto"/>
            </w:tcBorders>
            <w:shd w:val="clear" w:color="000000" w:fill="D9D9D9"/>
            <w:vAlign w:val="center"/>
            <w:hideMark/>
          </w:tcPr>
          <w:p w14:paraId="30CE9231" w14:textId="05BC9F39"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Children'</w:t>
            </w:r>
            <w:r>
              <w:rPr>
                <w:rFonts w:eastAsia="Times New Roman" w:cs="Arial"/>
                <w:b/>
                <w:bCs/>
                <w:sz w:val="20"/>
                <w:szCs w:val="20"/>
                <w:lang w:eastAsia="en-GB"/>
              </w:rPr>
              <w:t>s</w:t>
            </w:r>
            <w:r w:rsidRPr="00C75BA1">
              <w:rPr>
                <w:rFonts w:eastAsia="Times New Roman" w:cs="Arial"/>
                <w:b/>
                <w:bCs/>
                <w:sz w:val="20"/>
                <w:szCs w:val="20"/>
                <w:lang w:eastAsia="en-GB"/>
              </w:rPr>
              <w:t xml:space="preserve"> Social Care</w:t>
            </w:r>
          </w:p>
        </w:tc>
        <w:tc>
          <w:tcPr>
            <w:tcW w:w="939" w:type="dxa"/>
            <w:tcBorders>
              <w:top w:val="nil"/>
              <w:left w:val="nil"/>
              <w:bottom w:val="single" w:sz="8" w:space="0" w:color="auto"/>
              <w:right w:val="single" w:sz="4" w:space="0" w:color="auto"/>
            </w:tcBorders>
            <w:shd w:val="clear" w:color="000000" w:fill="D9D9D9"/>
            <w:vAlign w:val="center"/>
            <w:hideMark/>
          </w:tcPr>
          <w:p w14:paraId="7FCB31BF"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174.192</w:t>
            </w:r>
          </w:p>
        </w:tc>
        <w:tc>
          <w:tcPr>
            <w:tcW w:w="1050" w:type="dxa"/>
            <w:tcBorders>
              <w:top w:val="nil"/>
              <w:left w:val="nil"/>
              <w:bottom w:val="single" w:sz="8" w:space="0" w:color="auto"/>
              <w:right w:val="single" w:sz="4" w:space="0" w:color="auto"/>
            </w:tcBorders>
            <w:shd w:val="clear" w:color="000000" w:fill="D9D9D9"/>
            <w:vAlign w:val="center"/>
            <w:hideMark/>
          </w:tcPr>
          <w:p w14:paraId="31406552"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186.724</w:t>
            </w:r>
          </w:p>
        </w:tc>
        <w:tc>
          <w:tcPr>
            <w:tcW w:w="1050" w:type="dxa"/>
            <w:tcBorders>
              <w:top w:val="nil"/>
              <w:left w:val="nil"/>
              <w:bottom w:val="single" w:sz="8" w:space="0" w:color="auto"/>
              <w:right w:val="single" w:sz="4" w:space="0" w:color="auto"/>
            </w:tcBorders>
            <w:shd w:val="clear" w:color="000000" w:fill="D9D9D9"/>
            <w:vAlign w:val="center"/>
            <w:hideMark/>
          </w:tcPr>
          <w:p w14:paraId="0E7BDB3A"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12.532</w:t>
            </w:r>
          </w:p>
        </w:tc>
        <w:tc>
          <w:tcPr>
            <w:tcW w:w="1050" w:type="dxa"/>
            <w:tcBorders>
              <w:top w:val="nil"/>
              <w:left w:val="nil"/>
              <w:bottom w:val="single" w:sz="8" w:space="0" w:color="auto"/>
              <w:right w:val="single" w:sz="4" w:space="0" w:color="auto"/>
            </w:tcBorders>
            <w:shd w:val="clear" w:color="000000" w:fill="D9D9D9"/>
            <w:vAlign w:val="center"/>
            <w:hideMark/>
          </w:tcPr>
          <w:p w14:paraId="4095EAC8"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7.19%</w:t>
            </w:r>
          </w:p>
        </w:tc>
        <w:tc>
          <w:tcPr>
            <w:tcW w:w="1204" w:type="dxa"/>
            <w:tcBorders>
              <w:top w:val="nil"/>
              <w:left w:val="nil"/>
              <w:bottom w:val="single" w:sz="8" w:space="0" w:color="auto"/>
              <w:right w:val="single" w:sz="4" w:space="0" w:color="auto"/>
            </w:tcBorders>
            <w:shd w:val="clear" w:color="000000" w:fill="D9D9D9"/>
            <w:vAlign w:val="center"/>
            <w:hideMark/>
          </w:tcPr>
          <w:p w14:paraId="525CC2A9"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10.998</w:t>
            </w:r>
          </w:p>
        </w:tc>
      </w:tr>
      <w:tr w:rsidR="00C75BA1" w:rsidRPr="00C75BA1" w14:paraId="06619949" w14:textId="77777777" w:rsidTr="00C75BA1">
        <w:trPr>
          <w:trHeight w:val="301"/>
        </w:trPr>
        <w:tc>
          <w:tcPr>
            <w:tcW w:w="4260" w:type="dxa"/>
            <w:tcBorders>
              <w:top w:val="nil"/>
              <w:left w:val="single" w:sz="4" w:space="0" w:color="auto"/>
              <w:bottom w:val="single" w:sz="8" w:space="0" w:color="auto"/>
              <w:right w:val="single" w:sz="4" w:space="0" w:color="auto"/>
            </w:tcBorders>
            <w:shd w:val="clear" w:color="auto" w:fill="auto"/>
            <w:vAlign w:val="center"/>
          </w:tcPr>
          <w:p w14:paraId="20FE412F" w14:textId="77777777" w:rsidR="00C75BA1" w:rsidRPr="00C75BA1" w:rsidRDefault="00C75BA1" w:rsidP="00C75BA1">
            <w:pPr>
              <w:autoSpaceDE/>
              <w:autoSpaceDN/>
              <w:adjustRightInd/>
              <w:spacing w:after="0"/>
              <w:jc w:val="left"/>
              <w:rPr>
                <w:rFonts w:eastAsia="Times New Roman" w:cs="Arial"/>
                <w:b/>
                <w:bCs/>
                <w:sz w:val="20"/>
                <w:szCs w:val="20"/>
                <w:lang w:eastAsia="en-GB"/>
              </w:rPr>
            </w:pPr>
          </w:p>
        </w:tc>
        <w:tc>
          <w:tcPr>
            <w:tcW w:w="939" w:type="dxa"/>
            <w:tcBorders>
              <w:top w:val="nil"/>
              <w:left w:val="nil"/>
              <w:bottom w:val="single" w:sz="8" w:space="0" w:color="auto"/>
              <w:right w:val="single" w:sz="4" w:space="0" w:color="auto"/>
            </w:tcBorders>
            <w:shd w:val="clear" w:color="auto" w:fill="auto"/>
            <w:vAlign w:val="center"/>
          </w:tcPr>
          <w:p w14:paraId="551766DD"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7DD20E5D"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7E7DFD11"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42627BF9"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204" w:type="dxa"/>
            <w:tcBorders>
              <w:top w:val="nil"/>
              <w:left w:val="nil"/>
              <w:bottom w:val="single" w:sz="8" w:space="0" w:color="auto"/>
              <w:right w:val="single" w:sz="4" w:space="0" w:color="auto"/>
            </w:tcBorders>
            <w:shd w:val="clear" w:color="auto" w:fill="auto"/>
            <w:vAlign w:val="center"/>
          </w:tcPr>
          <w:p w14:paraId="573AD09A"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r>
      <w:tr w:rsidR="00C75BA1" w:rsidRPr="00C75BA1" w14:paraId="2BCD3C9E" w14:textId="77777777" w:rsidTr="00C75BA1">
        <w:trPr>
          <w:trHeight w:val="287"/>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E3B59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Inclusion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FBB09D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9.192</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574A98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8.369</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2799BEE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-0.823</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503E33C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-8.95%</w:t>
            </w:r>
          </w:p>
        </w:tc>
        <w:tc>
          <w:tcPr>
            <w:tcW w:w="1204" w:type="dxa"/>
            <w:tcBorders>
              <w:top w:val="single" w:sz="4" w:space="0" w:color="auto"/>
              <w:left w:val="nil"/>
              <w:bottom w:val="single" w:sz="4" w:space="0" w:color="auto"/>
              <w:right w:val="single" w:sz="4" w:space="0" w:color="auto"/>
            </w:tcBorders>
            <w:shd w:val="clear" w:color="000000" w:fill="D9D9D9"/>
            <w:vAlign w:val="center"/>
            <w:hideMark/>
          </w:tcPr>
          <w:p w14:paraId="7D547303"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-0.398</w:t>
            </w:r>
          </w:p>
        </w:tc>
      </w:tr>
      <w:tr w:rsidR="00C75BA1" w:rsidRPr="00C75BA1" w14:paraId="09943A3A" w14:textId="77777777" w:rsidTr="00C75BA1">
        <w:trPr>
          <w:trHeight w:val="287"/>
        </w:trPr>
        <w:tc>
          <w:tcPr>
            <w:tcW w:w="4260" w:type="dxa"/>
            <w:tcBorders>
              <w:top w:val="nil"/>
              <w:left w:val="single" w:sz="4" w:space="0" w:color="auto"/>
              <w:bottom w:val="single" w:sz="4" w:space="0" w:color="auto"/>
              <w:right w:val="single" w:sz="4" w:space="0" w:color="auto"/>
            </w:tcBorders>
            <w:shd w:val="clear" w:color="000000" w:fill="D9D9D9"/>
            <w:vAlign w:val="center"/>
            <w:hideMark/>
          </w:tcPr>
          <w:p w14:paraId="7B9B3D0E"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Children and Family Wellbeing Service</w:t>
            </w:r>
          </w:p>
        </w:tc>
        <w:tc>
          <w:tcPr>
            <w:tcW w:w="939" w:type="dxa"/>
            <w:tcBorders>
              <w:top w:val="nil"/>
              <w:left w:val="nil"/>
              <w:bottom w:val="single" w:sz="4" w:space="0" w:color="auto"/>
              <w:right w:val="single" w:sz="4" w:space="0" w:color="auto"/>
            </w:tcBorders>
            <w:shd w:val="clear" w:color="auto" w:fill="auto"/>
            <w:vAlign w:val="center"/>
            <w:hideMark/>
          </w:tcPr>
          <w:p w14:paraId="0D82431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18.525</w:t>
            </w:r>
          </w:p>
        </w:tc>
        <w:tc>
          <w:tcPr>
            <w:tcW w:w="1050" w:type="dxa"/>
            <w:tcBorders>
              <w:top w:val="nil"/>
              <w:left w:val="nil"/>
              <w:bottom w:val="single" w:sz="4" w:space="0" w:color="auto"/>
              <w:right w:val="single" w:sz="4" w:space="0" w:color="auto"/>
            </w:tcBorders>
            <w:shd w:val="clear" w:color="auto" w:fill="auto"/>
            <w:vAlign w:val="center"/>
            <w:hideMark/>
          </w:tcPr>
          <w:p w14:paraId="5955814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16.863</w:t>
            </w:r>
          </w:p>
        </w:tc>
        <w:tc>
          <w:tcPr>
            <w:tcW w:w="1050" w:type="dxa"/>
            <w:tcBorders>
              <w:top w:val="nil"/>
              <w:left w:val="nil"/>
              <w:bottom w:val="single" w:sz="4" w:space="0" w:color="auto"/>
              <w:right w:val="single" w:sz="4" w:space="0" w:color="auto"/>
            </w:tcBorders>
            <w:shd w:val="clear" w:color="000000" w:fill="D9D9D9"/>
            <w:vAlign w:val="center"/>
            <w:hideMark/>
          </w:tcPr>
          <w:p w14:paraId="404D878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-1.661</w:t>
            </w:r>
          </w:p>
        </w:tc>
        <w:tc>
          <w:tcPr>
            <w:tcW w:w="1050" w:type="dxa"/>
            <w:tcBorders>
              <w:top w:val="nil"/>
              <w:left w:val="nil"/>
              <w:bottom w:val="single" w:sz="4" w:space="0" w:color="auto"/>
              <w:right w:val="single" w:sz="4" w:space="0" w:color="auto"/>
            </w:tcBorders>
            <w:shd w:val="clear" w:color="auto" w:fill="auto"/>
            <w:vAlign w:val="center"/>
            <w:hideMark/>
          </w:tcPr>
          <w:p w14:paraId="79549D0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-8.97%</w:t>
            </w:r>
          </w:p>
        </w:tc>
        <w:tc>
          <w:tcPr>
            <w:tcW w:w="1204" w:type="dxa"/>
            <w:tcBorders>
              <w:top w:val="nil"/>
              <w:left w:val="nil"/>
              <w:bottom w:val="single" w:sz="4" w:space="0" w:color="auto"/>
              <w:right w:val="single" w:sz="4" w:space="0" w:color="auto"/>
            </w:tcBorders>
            <w:shd w:val="clear" w:color="000000" w:fill="D9D9D9"/>
            <w:vAlign w:val="center"/>
            <w:hideMark/>
          </w:tcPr>
          <w:p w14:paraId="3E1A1494"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-1.661</w:t>
            </w:r>
          </w:p>
        </w:tc>
      </w:tr>
      <w:tr w:rsidR="00C75BA1" w:rsidRPr="00C75BA1" w14:paraId="6F00E9D9" w14:textId="77777777" w:rsidTr="00C75BA1">
        <w:trPr>
          <w:trHeight w:val="287"/>
        </w:trPr>
        <w:tc>
          <w:tcPr>
            <w:tcW w:w="4260" w:type="dxa"/>
            <w:tcBorders>
              <w:top w:val="nil"/>
              <w:left w:val="single" w:sz="4" w:space="0" w:color="auto"/>
              <w:bottom w:val="single" w:sz="4" w:space="0" w:color="auto"/>
              <w:right w:val="single" w:sz="4" w:space="0" w:color="auto"/>
            </w:tcBorders>
            <w:shd w:val="clear" w:color="000000" w:fill="D9D9D9"/>
            <w:vAlign w:val="center"/>
            <w:hideMark/>
          </w:tcPr>
          <w:p w14:paraId="168A68F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Cultural Services</w:t>
            </w:r>
          </w:p>
        </w:tc>
        <w:tc>
          <w:tcPr>
            <w:tcW w:w="939" w:type="dxa"/>
            <w:tcBorders>
              <w:top w:val="nil"/>
              <w:left w:val="nil"/>
              <w:bottom w:val="single" w:sz="4" w:space="0" w:color="auto"/>
              <w:right w:val="single" w:sz="4" w:space="0" w:color="auto"/>
            </w:tcBorders>
            <w:shd w:val="clear" w:color="auto" w:fill="auto"/>
            <w:vAlign w:val="center"/>
            <w:hideMark/>
          </w:tcPr>
          <w:p w14:paraId="56EA61F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11.275</w:t>
            </w:r>
          </w:p>
        </w:tc>
        <w:tc>
          <w:tcPr>
            <w:tcW w:w="1050" w:type="dxa"/>
            <w:tcBorders>
              <w:top w:val="nil"/>
              <w:left w:val="nil"/>
              <w:bottom w:val="single" w:sz="4" w:space="0" w:color="auto"/>
              <w:right w:val="single" w:sz="4" w:space="0" w:color="auto"/>
            </w:tcBorders>
            <w:shd w:val="clear" w:color="auto" w:fill="auto"/>
            <w:vAlign w:val="center"/>
            <w:hideMark/>
          </w:tcPr>
          <w:p w14:paraId="78BC1E9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11.504</w:t>
            </w:r>
          </w:p>
        </w:tc>
        <w:tc>
          <w:tcPr>
            <w:tcW w:w="1050" w:type="dxa"/>
            <w:tcBorders>
              <w:top w:val="nil"/>
              <w:left w:val="nil"/>
              <w:bottom w:val="single" w:sz="4" w:space="0" w:color="auto"/>
              <w:right w:val="single" w:sz="4" w:space="0" w:color="auto"/>
            </w:tcBorders>
            <w:shd w:val="clear" w:color="000000" w:fill="D9D9D9"/>
            <w:vAlign w:val="center"/>
            <w:hideMark/>
          </w:tcPr>
          <w:p w14:paraId="63EE37A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0.229</w:t>
            </w:r>
          </w:p>
        </w:tc>
        <w:tc>
          <w:tcPr>
            <w:tcW w:w="1050" w:type="dxa"/>
            <w:tcBorders>
              <w:top w:val="nil"/>
              <w:left w:val="nil"/>
              <w:bottom w:val="single" w:sz="4" w:space="0" w:color="auto"/>
              <w:right w:val="single" w:sz="4" w:space="0" w:color="auto"/>
            </w:tcBorders>
            <w:shd w:val="clear" w:color="auto" w:fill="auto"/>
            <w:vAlign w:val="center"/>
            <w:hideMark/>
          </w:tcPr>
          <w:p w14:paraId="44D9254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2.03%</w:t>
            </w:r>
          </w:p>
        </w:tc>
        <w:tc>
          <w:tcPr>
            <w:tcW w:w="1204" w:type="dxa"/>
            <w:tcBorders>
              <w:top w:val="nil"/>
              <w:left w:val="nil"/>
              <w:bottom w:val="single" w:sz="4" w:space="0" w:color="auto"/>
              <w:right w:val="single" w:sz="4" w:space="0" w:color="auto"/>
            </w:tcBorders>
            <w:shd w:val="clear" w:color="000000" w:fill="D9D9D9"/>
            <w:vAlign w:val="center"/>
            <w:hideMark/>
          </w:tcPr>
          <w:p w14:paraId="5978166B"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0.412</w:t>
            </w:r>
          </w:p>
        </w:tc>
      </w:tr>
      <w:tr w:rsidR="00C75BA1" w:rsidRPr="00C75BA1" w14:paraId="028AFB2C" w14:textId="77777777" w:rsidTr="00C75BA1">
        <w:trPr>
          <w:trHeight w:val="287"/>
        </w:trPr>
        <w:tc>
          <w:tcPr>
            <w:tcW w:w="4260" w:type="dxa"/>
            <w:tcBorders>
              <w:top w:val="nil"/>
              <w:left w:val="single" w:sz="4" w:space="0" w:color="auto"/>
              <w:bottom w:val="single" w:sz="4" w:space="0" w:color="auto"/>
              <w:right w:val="single" w:sz="4" w:space="0" w:color="auto"/>
            </w:tcBorders>
            <w:shd w:val="clear" w:color="000000" w:fill="D9D9D9"/>
            <w:vAlign w:val="center"/>
            <w:hideMark/>
          </w:tcPr>
          <w:p w14:paraId="11182804"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Education Improvement 0-11 to 11+-25 (Combined)</w:t>
            </w:r>
          </w:p>
        </w:tc>
        <w:tc>
          <w:tcPr>
            <w:tcW w:w="939" w:type="dxa"/>
            <w:tcBorders>
              <w:top w:val="nil"/>
              <w:left w:val="nil"/>
              <w:bottom w:val="single" w:sz="4" w:space="0" w:color="auto"/>
              <w:right w:val="single" w:sz="4" w:space="0" w:color="auto"/>
            </w:tcBorders>
            <w:shd w:val="clear" w:color="auto" w:fill="auto"/>
            <w:vAlign w:val="center"/>
            <w:hideMark/>
          </w:tcPr>
          <w:p w14:paraId="66C3D06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5.129</w:t>
            </w:r>
          </w:p>
        </w:tc>
        <w:tc>
          <w:tcPr>
            <w:tcW w:w="1050" w:type="dxa"/>
            <w:tcBorders>
              <w:top w:val="nil"/>
              <w:left w:val="nil"/>
              <w:bottom w:val="single" w:sz="4" w:space="0" w:color="auto"/>
              <w:right w:val="single" w:sz="4" w:space="0" w:color="auto"/>
            </w:tcBorders>
            <w:shd w:val="clear" w:color="auto" w:fill="auto"/>
            <w:vAlign w:val="center"/>
            <w:hideMark/>
          </w:tcPr>
          <w:p w14:paraId="012007E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5.979</w:t>
            </w:r>
          </w:p>
        </w:tc>
        <w:tc>
          <w:tcPr>
            <w:tcW w:w="1050" w:type="dxa"/>
            <w:tcBorders>
              <w:top w:val="nil"/>
              <w:left w:val="nil"/>
              <w:bottom w:val="single" w:sz="4" w:space="0" w:color="auto"/>
              <w:right w:val="single" w:sz="4" w:space="0" w:color="auto"/>
            </w:tcBorders>
            <w:shd w:val="clear" w:color="000000" w:fill="D9D9D9"/>
            <w:vAlign w:val="center"/>
            <w:hideMark/>
          </w:tcPr>
          <w:p w14:paraId="44DBA04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0.849</w:t>
            </w:r>
          </w:p>
        </w:tc>
        <w:tc>
          <w:tcPr>
            <w:tcW w:w="1050" w:type="dxa"/>
            <w:tcBorders>
              <w:top w:val="nil"/>
              <w:left w:val="nil"/>
              <w:bottom w:val="single" w:sz="4" w:space="0" w:color="auto"/>
              <w:right w:val="single" w:sz="4" w:space="0" w:color="auto"/>
            </w:tcBorders>
            <w:shd w:val="clear" w:color="auto" w:fill="auto"/>
            <w:vAlign w:val="center"/>
            <w:hideMark/>
          </w:tcPr>
          <w:p w14:paraId="38A1881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16.56%</w:t>
            </w:r>
          </w:p>
        </w:tc>
        <w:tc>
          <w:tcPr>
            <w:tcW w:w="1204" w:type="dxa"/>
            <w:tcBorders>
              <w:top w:val="nil"/>
              <w:left w:val="nil"/>
              <w:bottom w:val="single" w:sz="4" w:space="0" w:color="auto"/>
              <w:right w:val="single" w:sz="4" w:space="0" w:color="auto"/>
            </w:tcBorders>
            <w:shd w:val="clear" w:color="000000" w:fill="D9D9D9"/>
            <w:vAlign w:val="center"/>
            <w:hideMark/>
          </w:tcPr>
          <w:p w14:paraId="27EE7854"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0.865</w:t>
            </w:r>
          </w:p>
        </w:tc>
      </w:tr>
      <w:tr w:rsidR="00C75BA1" w:rsidRPr="00C75BA1" w14:paraId="2841C41A" w14:textId="77777777" w:rsidTr="00C75BA1">
        <w:trPr>
          <w:trHeight w:val="301"/>
        </w:trPr>
        <w:tc>
          <w:tcPr>
            <w:tcW w:w="4260" w:type="dxa"/>
            <w:tcBorders>
              <w:top w:val="nil"/>
              <w:left w:val="single" w:sz="4" w:space="0" w:color="auto"/>
              <w:bottom w:val="single" w:sz="8" w:space="0" w:color="auto"/>
              <w:right w:val="single" w:sz="4" w:space="0" w:color="auto"/>
            </w:tcBorders>
            <w:shd w:val="clear" w:color="000000" w:fill="D9D9D9"/>
            <w:vAlign w:val="center"/>
            <w:hideMark/>
          </w:tcPr>
          <w:p w14:paraId="55EF0D83"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Education &amp; Skills</w:t>
            </w:r>
          </w:p>
        </w:tc>
        <w:tc>
          <w:tcPr>
            <w:tcW w:w="939" w:type="dxa"/>
            <w:tcBorders>
              <w:top w:val="nil"/>
              <w:left w:val="nil"/>
              <w:bottom w:val="single" w:sz="8" w:space="0" w:color="auto"/>
              <w:right w:val="single" w:sz="4" w:space="0" w:color="auto"/>
            </w:tcBorders>
            <w:shd w:val="clear" w:color="000000" w:fill="D9D9D9"/>
            <w:vAlign w:val="center"/>
            <w:hideMark/>
          </w:tcPr>
          <w:p w14:paraId="4EE64CD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44.121</w:t>
            </w:r>
          </w:p>
        </w:tc>
        <w:tc>
          <w:tcPr>
            <w:tcW w:w="1050" w:type="dxa"/>
            <w:tcBorders>
              <w:top w:val="nil"/>
              <w:left w:val="nil"/>
              <w:bottom w:val="single" w:sz="8" w:space="0" w:color="auto"/>
              <w:right w:val="single" w:sz="4" w:space="0" w:color="auto"/>
            </w:tcBorders>
            <w:shd w:val="clear" w:color="000000" w:fill="D9D9D9"/>
            <w:vAlign w:val="center"/>
            <w:hideMark/>
          </w:tcPr>
          <w:p w14:paraId="741F4778"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42.716</w:t>
            </w:r>
          </w:p>
        </w:tc>
        <w:tc>
          <w:tcPr>
            <w:tcW w:w="1050" w:type="dxa"/>
            <w:tcBorders>
              <w:top w:val="nil"/>
              <w:left w:val="nil"/>
              <w:bottom w:val="single" w:sz="8" w:space="0" w:color="auto"/>
              <w:right w:val="single" w:sz="4" w:space="0" w:color="auto"/>
            </w:tcBorders>
            <w:shd w:val="clear" w:color="000000" w:fill="D9D9D9"/>
            <w:vAlign w:val="center"/>
            <w:hideMark/>
          </w:tcPr>
          <w:p w14:paraId="6F05C598"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-1.406</w:t>
            </w:r>
          </w:p>
        </w:tc>
        <w:tc>
          <w:tcPr>
            <w:tcW w:w="1050" w:type="dxa"/>
            <w:tcBorders>
              <w:top w:val="nil"/>
              <w:left w:val="nil"/>
              <w:bottom w:val="single" w:sz="8" w:space="0" w:color="auto"/>
              <w:right w:val="single" w:sz="4" w:space="0" w:color="auto"/>
            </w:tcBorders>
            <w:shd w:val="clear" w:color="000000" w:fill="D9D9D9"/>
            <w:vAlign w:val="center"/>
            <w:hideMark/>
          </w:tcPr>
          <w:p w14:paraId="4B7A53ED"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-3.19%</w:t>
            </w:r>
          </w:p>
        </w:tc>
        <w:tc>
          <w:tcPr>
            <w:tcW w:w="1204" w:type="dxa"/>
            <w:tcBorders>
              <w:top w:val="nil"/>
              <w:left w:val="nil"/>
              <w:bottom w:val="single" w:sz="8" w:space="0" w:color="auto"/>
              <w:right w:val="single" w:sz="4" w:space="0" w:color="auto"/>
            </w:tcBorders>
            <w:shd w:val="clear" w:color="000000" w:fill="D9D9D9"/>
            <w:vAlign w:val="center"/>
            <w:hideMark/>
          </w:tcPr>
          <w:p w14:paraId="2EF280BE"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-0.782</w:t>
            </w:r>
          </w:p>
        </w:tc>
      </w:tr>
      <w:tr w:rsidR="00C75BA1" w:rsidRPr="00C75BA1" w14:paraId="1C96C587" w14:textId="77777777" w:rsidTr="00C75BA1">
        <w:trPr>
          <w:trHeight w:val="301"/>
        </w:trPr>
        <w:tc>
          <w:tcPr>
            <w:tcW w:w="4260" w:type="dxa"/>
            <w:tcBorders>
              <w:top w:val="nil"/>
              <w:left w:val="single" w:sz="4" w:space="0" w:color="auto"/>
              <w:bottom w:val="single" w:sz="8" w:space="0" w:color="auto"/>
              <w:right w:val="single" w:sz="4" w:space="0" w:color="auto"/>
            </w:tcBorders>
            <w:shd w:val="clear" w:color="auto" w:fill="auto"/>
            <w:vAlign w:val="center"/>
          </w:tcPr>
          <w:p w14:paraId="2FDB41A5" w14:textId="77777777" w:rsidR="00C75BA1" w:rsidRPr="00C75BA1" w:rsidRDefault="00C75BA1" w:rsidP="00C75BA1">
            <w:pPr>
              <w:autoSpaceDE/>
              <w:autoSpaceDN/>
              <w:adjustRightInd/>
              <w:spacing w:after="0"/>
              <w:jc w:val="left"/>
              <w:rPr>
                <w:rFonts w:eastAsia="Times New Roman" w:cs="Arial"/>
                <w:b/>
                <w:bCs/>
                <w:sz w:val="20"/>
                <w:szCs w:val="20"/>
                <w:lang w:eastAsia="en-GB"/>
              </w:rPr>
            </w:pPr>
          </w:p>
        </w:tc>
        <w:tc>
          <w:tcPr>
            <w:tcW w:w="939" w:type="dxa"/>
            <w:tcBorders>
              <w:top w:val="nil"/>
              <w:left w:val="nil"/>
              <w:bottom w:val="single" w:sz="8" w:space="0" w:color="auto"/>
              <w:right w:val="single" w:sz="4" w:space="0" w:color="auto"/>
            </w:tcBorders>
            <w:shd w:val="clear" w:color="auto" w:fill="auto"/>
            <w:vAlign w:val="center"/>
          </w:tcPr>
          <w:p w14:paraId="097225FF"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7B284CF3"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541CF1A6"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756F5261"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204" w:type="dxa"/>
            <w:tcBorders>
              <w:top w:val="nil"/>
              <w:left w:val="nil"/>
              <w:bottom w:val="single" w:sz="8" w:space="0" w:color="auto"/>
              <w:right w:val="single" w:sz="4" w:space="0" w:color="auto"/>
            </w:tcBorders>
            <w:shd w:val="clear" w:color="auto" w:fill="auto"/>
            <w:vAlign w:val="center"/>
          </w:tcPr>
          <w:p w14:paraId="4AB854B7"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r>
      <w:tr w:rsidR="00C75BA1" w:rsidRPr="00C75BA1" w14:paraId="07D89AB0" w14:textId="77777777" w:rsidTr="00C75BA1">
        <w:trPr>
          <w:trHeight w:val="287"/>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0CF36E"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Safeguarding, Inspection &amp; Audit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1E3C8E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15.015</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AA049F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14.998</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242A46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-0.017</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1AAFB0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-0.11%</w:t>
            </w:r>
          </w:p>
        </w:tc>
        <w:tc>
          <w:tcPr>
            <w:tcW w:w="1204" w:type="dxa"/>
            <w:tcBorders>
              <w:top w:val="single" w:sz="4" w:space="0" w:color="auto"/>
              <w:left w:val="nil"/>
              <w:bottom w:val="single" w:sz="4" w:space="0" w:color="auto"/>
              <w:right w:val="single" w:sz="4" w:space="0" w:color="auto"/>
            </w:tcBorders>
            <w:shd w:val="clear" w:color="000000" w:fill="D9D9D9"/>
            <w:vAlign w:val="center"/>
            <w:hideMark/>
          </w:tcPr>
          <w:p w14:paraId="076D5167"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-0.003</w:t>
            </w:r>
          </w:p>
        </w:tc>
      </w:tr>
      <w:tr w:rsidR="00C75BA1" w:rsidRPr="00C75BA1" w14:paraId="2B6CEB1F" w14:textId="77777777" w:rsidTr="00C75BA1">
        <w:trPr>
          <w:trHeight w:val="287"/>
        </w:trPr>
        <w:tc>
          <w:tcPr>
            <w:tcW w:w="4260" w:type="dxa"/>
            <w:tcBorders>
              <w:top w:val="nil"/>
              <w:left w:val="single" w:sz="4" w:space="0" w:color="auto"/>
              <w:bottom w:val="single" w:sz="4" w:space="0" w:color="auto"/>
              <w:right w:val="single" w:sz="4" w:space="0" w:color="auto"/>
            </w:tcBorders>
            <w:shd w:val="clear" w:color="000000" w:fill="D9D9D9"/>
            <w:vAlign w:val="center"/>
            <w:hideMark/>
          </w:tcPr>
          <w:p w14:paraId="1BB3033E"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Education &amp; Children's Services Central Costs</w:t>
            </w:r>
          </w:p>
        </w:tc>
        <w:tc>
          <w:tcPr>
            <w:tcW w:w="939" w:type="dxa"/>
            <w:tcBorders>
              <w:top w:val="nil"/>
              <w:left w:val="nil"/>
              <w:bottom w:val="single" w:sz="4" w:space="0" w:color="auto"/>
              <w:right w:val="single" w:sz="4" w:space="0" w:color="auto"/>
            </w:tcBorders>
            <w:shd w:val="clear" w:color="auto" w:fill="auto"/>
            <w:vAlign w:val="center"/>
            <w:hideMark/>
          </w:tcPr>
          <w:p w14:paraId="3D9028E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-5.901</w:t>
            </w:r>
          </w:p>
        </w:tc>
        <w:tc>
          <w:tcPr>
            <w:tcW w:w="1050" w:type="dxa"/>
            <w:tcBorders>
              <w:top w:val="nil"/>
              <w:left w:val="nil"/>
              <w:bottom w:val="single" w:sz="4" w:space="0" w:color="auto"/>
              <w:right w:val="single" w:sz="4" w:space="0" w:color="auto"/>
            </w:tcBorders>
            <w:shd w:val="clear" w:color="auto" w:fill="auto"/>
            <w:vAlign w:val="center"/>
            <w:hideMark/>
          </w:tcPr>
          <w:p w14:paraId="5E7F104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-5.480</w:t>
            </w:r>
          </w:p>
        </w:tc>
        <w:tc>
          <w:tcPr>
            <w:tcW w:w="1050" w:type="dxa"/>
            <w:tcBorders>
              <w:top w:val="nil"/>
              <w:left w:val="nil"/>
              <w:bottom w:val="single" w:sz="4" w:space="0" w:color="auto"/>
              <w:right w:val="single" w:sz="4" w:space="0" w:color="auto"/>
            </w:tcBorders>
            <w:shd w:val="clear" w:color="000000" w:fill="D9D9D9"/>
            <w:vAlign w:val="center"/>
            <w:hideMark/>
          </w:tcPr>
          <w:p w14:paraId="4BA010C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0.422</w:t>
            </w:r>
          </w:p>
        </w:tc>
        <w:tc>
          <w:tcPr>
            <w:tcW w:w="1050" w:type="dxa"/>
            <w:tcBorders>
              <w:top w:val="nil"/>
              <w:left w:val="nil"/>
              <w:bottom w:val="single" w:sz="4" w:space="0" w:color="auto"/>
              <w:right w:val="single" w:sz="4" w:space="0" w:color="auto"/>
            </w:tcBorders>
            <w:shd w:val="clear" w:color="auto" w:fill="auto"/>
            <w:vAlign w:val="center"/>
            <w:hideMark/>
          </w:tcPr>
          <w:p w14:paraId="56B0FA8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7.14%</w:t>
            </w:r>
          </w:p>
        </w:tc>
        <w:tc>
          <w:tcPr>
            <w:tcW w:w="1204" w:type="dxa"/>
            <w:tcBorders>
              <w:top w:val="nil"/>
              <w:left w:val="nil"/>
              <w:bottom w:val="single" w:sz="4" w:space="0" w:color="auto"/>
              <w:right w:val="single" w:sz="4" w:space="0" w:color="auto"/>
            </w:tcBorders>
            <w:shd w:val="clear" w:color="000000" w:fill="D9D9D9"/>
            <w:vAlign w:val="center"/>
            <w:hideMark/>
          </w:tcPr>
          <w:p w14:paraId="5E883BD9"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0.422</w:t>
            </w:r>
          </w:p>
        </w:tc>
      </w:tr>
      <w:tr w:rsidR="00C75BA1" w:rsidRPr="00C75BA1" w14:paraId="1A65974C" w14:textId="77777777" w:rsidTr="00C75BA1">
        <w:trPr>
          <w:trHeight w:val="301"/>
        </w:trPr>
        <w:tc>
          <w:tcPr>
            <w:tcW w:w="4260" w:type="dxa"/>
            <w:tcBorders>
              <w:top w:val="nil"/>
              <w:left w:val="single" w:sz="4" w:space="0" w:color="auto"/>
              <w:bottom w:val="single" w:sz="8" w:space="0" w:color="auto"/>
              <w:right w:val="single" w:sz="4" w:space="0" w:color="auto"/>
            </w:tcBorders>
            <w:shd w:val="clear" w:color="000000" w:fill="D9D9D9"/>
            <w:vAlign w:val="center"/>
            <w:hideMark/>
          </w:tcPr>
          <w:p w14:paraId="0C84BE56" w14:textId="1D09871F"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 xml:space="preserve">Total Education </w:t>
            </w:r>
            <w:r>
              <w:rPr>
                <w:rFonts w:eastAsia="Times New Roman" w:cs="Arial"/>
                <w:b/>
                <w:bCs/>
                <w:sz w:val="20"/>
                <w:szCs w:val="20"/>
                <w:lang w:eastAsia="en-GB"/>
              </w:rPr>
              <w:t>a</w:t>
            </w:r>
            <w:r w:rsidRPr="00C75BA1">
              <w:rPr>
                <w:rFonts w:eastAsia="Times New Roman" w:cs="Arial"/>
                <w:b/>
                <w:bCs/>
                <w:sz w:val="20"/>
                <w:szCs w:val="20"/>
                <w:lang w:eastAsia="en-GB"/>
              </w:rPr>
              <w:t>nd Children'</w:t>
            </w:r>
            <w:r>
              <w:rPr>
                <w:rFonts w:eastAsia="Times New Roman" w:cs="Arial"/>
                <w:b/>
                <w:bCs/>
                <w:sz w:val="20"/>
                <w:szCs w:val="20"/>
                <w:lang w:eastAsia="en-GB"/>
              </w:rPr>
              <w:t>s</w:t>
            </w:r>
            <w:r w:rsidRPr="00C75BA1">
              <w:rPr>
                <w:rFonts w:eastAsia="Times New Roman" w:cs="Arial"/>
                <w:b/>
                <w:bCs/>
                <w:sz w:val="20"/>
                <w:szCs w:val="20"/>
                <w:lang w:eastAsia="en-GB"/>
              </w:rPr>
              <w:t xml:space="preserve"> Services</w:t>
            </w:r>
          </w:p>
        </w:tc>
        <w:tc>
          <w:tcPr>
            <w:tcW w:w="939" w:type="dxa"/>
            <w:tcBorders>
              <w:top w:val="nil"/>
              <w:left w:val="nil"/>
              <w:bottom w:val="single" w:sz="8" w:space="0" w:color="auto"/>
              <w:right w:val="single" w:sz="4" w:space="0" w:color="auto"/>
            </w:tcBorders>
            <w:shd w:val="clear" w:color="000000" w:fill="D9D9D9"/>
            <w:vAlign w:val="center"/>
            <w:hideMark/>
          </w:tcPr>
          <w:p w14:paraId="5B8693F3"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9.114</w:t>
            </w:r>
          </w:p>
        </w:tc>
        <w:tc>
          <w:tcPr>
            <w:tcW w:w="1050" w:type="dxa"/>
            <w:tcBorders>
              <w:top w:val="nil"/>
              <w:left w:val="nil"/>
              <w:bottom w:val="single" w:sz="8" w:space="0" w:color="auto"/>
              <w:right w:val="single" w:sz="4" w:space="0" w:color="auto"/>
            </w:tcBorders>
            <w:shd w:val="clear" w:color="000000" w:fill="D9D9D9"/>
            <w:vAlign w:val="center"/>
            <w:hideMark/>
          </w:tcPr>
          <w:p w14:paraId="54E6BFA5"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9.518</w:t>
            </w:r>
          </w:p>
        </w:tc>
        <w:tc>
          <w:tcPr>
            <w:tcW w:w="1050" w:type="dxa"/>
            <w:tcBorders>
              <w:top w:val="nil"/>
              <w:left w:val="nil"/>
              <w:bottom w:val="single" w:sz="8" w:space="0" w:color="auto"/>
              <w:right w:val="single" w:sz="4" w:space="0" w:color="auto"/>
            </w:tcBorders>
            <w:shd w:val="clear" w:color="000000" w:fill="D9D9D9"/>
            <w:vAlign w:val="center"/>
            <w:hideMark/>
          </w:tcPr>
          <w:p w14:paraId="33530C23"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0.404</w:t>
            </w:r>
          </w:p>
        </w:tc>
        <w:tc>
          <w:tcPr>
            <w:tcW w:w="1050" w:type="dxa"/>
            <w:tcBorders>
              <w:top w:val="nil"/>
              <w:left w:val="nil"/>
              <w:bottom w:val="single" w:sz="8" w:space="0" w:color="auto"/>
              <w:right w:val="single" w:sz="4" w:space="0" w:color="auto"/>
            </w:tcBorders>
            <w:shd w:val="clear" w:color="000000" w:fill="D9D9D9"/>
            <w:vAlign w:val="center"/>
            <w:hideMark/>
          </w:tcPr>
          <w:p w14:paraId="14056379"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4.44%</w:t>
            </w:r>
          </w:p>
        </w:tc>
        <w:tc>
          <w:tcPr>
            <w:tcW w:w="1204" w:type="dxa"/>
            <w:tcBorders>
              <w:top w:val="nil"/>
              <w:left w:val="nil"/>
              <w:bottom w:val="single" w:sz="8" w:space="0" w:color="auto"/>
              <w:right w:val="single" w:sz="4" w:space="0" w:color="auto"/>
            </w:tcBorders>
            <w:shd w:val="clear" w:color="000000" w:fill="D9D9D9"/>
            <w:vAlign w:val="center"/>
            <w:hideMark/>
          </w:tcPr>
          <w:p w14:paraId="2DC5DABF"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0.419</w:t>
            </w:r>
          </w:p>
        </w:tc>
      </w:tr>
      <w:tr w:rsidR="00C75BA1" w:rsidRPr="00C75BA1" w14:paraId="2E935418" w14:textId="77777777" w:rsidTr="00C75BA1">
        <w:trPr>
          <w:trHeight w:val="301"/>
        </w:trPr>
        <w:tc>
          <w:tcPr>
            <w:tcW w:w="4260" w:type="dxa"/>
            <w:tcBorders>
              <w:top w:val="nil"/>
              <w:left w:val="single" w:sz="4" w:space="0" w:color="auto"/>
              <w:bottom w:val="single" w:sz="8" w:space="0" w:color="auto"/>
              <w:right w:val="single" w:sz="4" w:space="0" w:color="auto"/>
            </w:tcBorders>
            <w:shd w:val="clear" w:color="auto" w:fill="auto"/>
            <w:vAlign w:val="center"/>
          </w:tcPr>
          <w:p w14:paraId="301942F2" w14:textId="77777777" w:rsidR="00C75BA1" w:rsidRPr="00C75BA1" w:rsidRDefault="00C75BA1" w:rsidP="00C75BA1">
            <w:pPr>
              <w:autoSpaceDE/>
              <w:autoSpaceDN/>
              <w:adjustRightInd/>
              <w:spacing w:after="0"/>
              <w:jc w:val="left"/>
              <w:rPr>
                <w:rFonts w:eastAsia="Times New Roman" w:cs="Arial"/>
                <w:b/>
                <w:bCs/>
                <w:sz w:val="20"/>
                <w:szCs w:val="20"/>
                <w:lang w:eastAsia="en-GB"/>
              </w:rPr>
            </w:pPr>
          </w:p>
        </w:tc>
        <w:tc>
          <w:tcPr>
            <w:tcW w:w="939" w:type="dxa"/>
            <w:tcBorders>
              <w:top w:val="nil"/>
              <w:left w:val="nil"/>
              <w:bottom w:val="single" w:sz="8" w:space="0" w:color="auto"/>
              <w:right w:val="single" w:sz="4" w:space="0" w:color="auto"/>
            </w:tcBorders>
            <w:shd w:val="clear" w:color="auto" w:fill="auto"/>
            <w:vAlign w:val="center"/>
          </w:tcPr>
          <w:p w14:paraId="542A0F23"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6C9387A8"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72C81EFB"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auto" w:fill="auto"/>
            <w:vAlign w:val="center"/>
          </w:tcPr>
          <w:p w14:paraId="02597335"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204" w:type="dxa"/>
            <w:tcBorders>
              <w:top w:val="nil"/>
              <w:left w:val="nil"/>
              <w:bottom w:val="single" w:sz="8" w:space="0" w:color="auto"/>
              <w:right w:val="single" w:sz="4" w:space="0" w:color="auto"/>
            </w:tcBorders>
            <w:shd w:val="clear" w:color="auto" w:fill="auto"/>
            <w:vAlign w:val="center"/>
          </w:tcPr>
          <w:p w14:paraId="3CA55AA6"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r>
      <w:tr w:rsidR="00C75BA1" w:rsidRPr="00C75BA1" w14:paraId="536D1206" w14:textId="77777777" w:rsidTr="00C75BA1">
        <w:trPr>
          <w:trHeight w:val="287"/>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6A0425"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Policy Info &amp; Commission Start Well</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6C2DC87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1.948</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3718DC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1.967</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2659A70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0.019</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586A4C5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0.97%</w:t>
            </w:r>
          </w:p>
        </w:tc>
        <w:tc>
          <w:tcPr>
            <w:tcW w:w="1204" w:type="dxa"/>
            <w:tcBorders>
              <w:top w:val="single" w:sz="4" w:space="0" w:color="auto"/>
              <w:left w:val="nil"/>
              <w:bottom w:val="single" w:sz="4" w:space="0" w:color="auto"/>
              <w:right w:val="single" w:sz="4" w:space="0" w:color="auto"/>
            </w:tcBorders>
            <w:shd w:val="clear" w:color="000000" w:fill="D9D9D9"/>
            <w:vAlign w:val="center"/>
            <w:hideMark/>
          </w:tcPr>
          <w:p w14:paraId="00FF0B9C"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0.072</w:t>
            </w:r>
          </w:p>
        </w:tc>
      </w:tr>
      <w:tr w:rsidR="00C75BA1" w:rsidRPr="00C75BA1" w14:paraId="6996F4C4" w14:textId="77777777" w:rsidTr="00C75BA1">
        <w:trPr>
          <w:trHeight w:val="301"/>
        </w:trPr>
        <w:tc>
          <w:tcPr>
            <w:tcW w:w="4260" w:type="dxa"/>
            <w:tcBorders>
              <w:top w:val="nil"/>
              <w:left w:val="single" w:sz="4" w:space="0" w:color="auto"/>
              <w:bottom w:val="single" w:sz="8" w:space="0" w:color="auto"/>
              <w:right w:val="single" w:sz="4" w:space="0" w:color="auto"/>
            </w:tcBorders>
            <w:shd w:val="clear" w:color="000000" w:fill="D9D9D9"/>
            <w:vAlign w:val="center"/>
            <w:hideMark/>
          </w:tcPr>
          <w:p w14:paraId="1A594C6C" w14:textId="121F1629"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 xml:space="preserve">Total Policy Commissioning </w:t>
            </w:r>
            <w:r>
              <w:rPr>
                <w:rFonts w:eastAsia="Times New Roman" w:cs="Arial"/>
                <w:b/>
                <w:bCs/>
                <w:sz w:val="20"/>
                <w:szCs w:val="20"/>
                <w:lang w:eastAsia="en-GB"/>
              </w:rPr>
              <w:t>a</w:t>
            </w:r>
            <w:r w:rsidRPr="00C75BA1">
              <w:rPr>
                <w:rFonts w:eastAsia="Times New Roman" w:cs="Arial"/>
                <w:b/>
                <w:bCs/>
                <w:sz w:val="20"/>
                <w:szCs w:val="20"/>
                <w:lang w:eastAsia="en-GB"/>
              </w:rPr>
              <w:t>nd Children'</w:t>
            </w:r>
            <w:r>
              <w:rPr>
                <w:rFonts w:eastAsia="Times New Roman" w:cs="Arial"/>
                <w:b/>
                <w:bCs/>
                <w:sz w:val="20"/>
                <w:szCs w:val="20"/>
                <w:lang w:eastAsia="en-GB"/>
              </w:rPr>
              <w:t>s</w:t>
            </w:r>
            <w:r w:rsidRPr="00C75BA1">
              <w:rPr>
                <w:rFonts w:eastAsia="Times New Roman" w:cs="Arial"/>
                <w:b/>
                <w:bCs/>
                <w:sz w:val="20"/>
                <w:szCs w:val="20"/>
                <w:lang w:eastAsia="en-GB"/>
              </w:rPr>
              <w:t xml:space="preserve"> Health</w:t>
            </w:r>
          </w:p>
        </w:tc>
        <w:tc>
          <w:tcPr>
            <w:tcW w:w="939" w:type="dxa"/>
            <w:tcBorders>
              <w:top w:val="nil"/>
              <w:left w:val="nil"/>
              <w:bottom w:val="single" w:sz="8" w:space="0" w:color="auto"/>
              <w:right w:val="single" w:sz="4" w:space="0" w:color="auto"/>
            </w:tcBorders>
            <w:shd w:val="clear" w:color="000000" w:fill="D9D9D9"/>
            <w:vAlign w:val="center"/>
            <w:hideMark/>
          </w:tcPr>
          <w:p w14:paraId="6ED57AD0"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1.948</w:t>
            </w:r>
          </w:p>
        </w:tc>
        <w:tc>
          <w:tcPr>
            <w:tcW w:w="1050" w:type="dxa"/>
            <w:tcBorders>
              <w:top w:val="nil"/>
              <w:left w:val="nil"/>
              <w:bottom w:val="single" w:sz="8" w:space="0" w:color="auto"/>
              <w:right w:val="single" w:sz="4" w:space="0" w:color="auto"/>
            </w:tcBorders>
            <w:shd w:val="clear" w:color="000000" w:fill="D9D9D9"/>
            <w:vAlign w:val="center"/>
            <w:hideMark/>
          </w:tcPr>
          <w:p w14:paraId="0ED56484"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1.967</w:t>
            </w:r>
          </w:p>
        </w:tc>
        <w:tc>
          <w:tcPr>
            <w:tcW w:w="1050" w:type="dxa"/>
            <w:tcBorders>
              <w:top w:val="nil"/>
              <w:left w:val="nil"/>
              <w:bottom w:val="single" w:sz="8" w:space="0" w:color="auto"/>
              <w:right w:val="single" w:sz="4" w:space="0" w:color="auto"/>
            </w:tcBorders>
            <w:shd w:val="clear" w:color="000000" w:fill="D9D9D9"/>
            <w:vAlign w:val="center"/>
            <w:hideMark/>
          </w:tcPr>
          <w:p w14:paraId="2B7DE59C"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0.019</w:t>
            </w:r>
          </w:p>
        </w:tc>
        <w:tc>
          <w:tcPr>
            <w:tcW w:w="1050" w:type="dxa"/>
            <w:tcBorders>
              <w:top w:val="nil"/>
              <w:left w:val="nil"/>
              <w:bottom w:val="single" w:sz="8" w:space="0" w:color="auto"/>
              <w:right w:val="single" w:sz="4" w:space="0" w:color="auto"/>
            </w:tcBorders>
            <w:shd w:val="clear" w:color="000000" w:fill="D9D9D9"/>
            <w:vAlign w:val="center"/>
            <w:hideMark/>
          </w:tcPr>
          <w:p w14:paraId="17DE5A5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0.97%</w:t>
            </w:r>
          </w:p>
        </w:tc>
        <w:tc>
          <w:tcPr>
            <w:tcW w:w="1204" w:type="dxa"/>
            <w:tcBorders>
              <w:top w:val="nil"/>
              <w:left w:val="nil"/>
              <w:bottom w:val="single" w:sz="8" w:space="0" w:color="auto"/>
              <w:right w:val="single" w:sz="4" w:space="0" w:color="auto"/>
            </w:tcBorders>
            <w:shd w:val="clear" w:color="000000" w:fill="D9D9D9"/>
            <w:vAlign w:val="center"/>
            <w:hideMark/>
          </w:tcPr>
          <w:p w14:paraId="483D0FE1"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0.072</w:t>
            </w:r>
          </w:p>
        </w:tc>
      </w:tr>
      <w:tr w:rsidR="00C75BA1" w:rsidRPr="00C75BA1" w14:paraId="26BC9CA9" w14:textId="77777777" w:rsidTr="00C75BA1">
        <w:trPr>
          <w:trHeight w:val="301"/>
        </w:trPr>
        <w:tc>
          <w:tcPr>
            <w:tcW w:w="4260" w:type="dxa"/>
            <w:tcBorders>
              <w:top w:val="nil"/>
              <w:left w:val="single" w:sz="4" w:space="0" w:color="auto"/>
              <w:bottom w:val="single" w:sz="8" w:space="0" w:color="auto"/>
              <w:right w:val="single" w:sz="4" w:space="0" w:color="auto"/>
            </w:tcBorders>
            <w:shd w:val="clear" w:color="000000" w:fill="D9D9D9"/>
            <w:vAlign w:val="center"/>
          </w:tcPr>
          <w:p w14:paraId="33734A12" w14:textId="77777777" w:rsidR="00C75BA1" w:rsidRPr="00C75BA1" w:rsidRDefault="00C75BA1" w:rsidP="00C75BA1">
            <w:pPr>
              <w:autoSpaceDE/>
              <w:autoSpaceDN/>
              <w:adjustRightInd/>
              <w:spacing w:after="0"/>
              <w:jc w:val="left"/>
              <w:rPr>
                <w:rFonts w:eastAsia="Times New Roman" w:cs="Arial"/>
                <w:b/>
                <w:bCs/>
                <w:sz w:val="20"/>
                <w:szCs w:val="20"/>
                <w:lang w:eastAsia="en-GB"/>
              </w:rPr>
            </w:pPr>
          </w:p>
        </w:tc>
        <w:tc>
          <w:tcPr>
            <w:tcW w:w="939" w:type="dxa"/>
            <w:tcBorders>
              <w:top w:val="nil"/>
              <w:left w:val="nil"/>
              <w:bottom w:val="single" w:sz="8" w:space="0" w:color="auto"/>
              <w:right w:val="single" w:sz="4" w:space="0" w:color="auto"/>
            </w:tcBorders>
            <w:shd w:val="clear" w:color="000000" w:fill="D9D9D9"/>
            <w:vAlign w:val="center"/>
          </w:tcPr>
          <w:p w14:paraId="68ED5FFD"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000000" w:fill="D9D9D9"/>
            <w:vAlign w:val="center"/>
          </w:tcPr>
          <w:p w14:paraId="758869BD"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000000" w:fill="D9D9D9"/>
            <w:vAlign w:val="center"/>
          </w:tcPr>
          <w:p w14:paraId="0D4D6908"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50" w:type="dxa"/>
            <w:tcBorders>
              <w:top w:val="nil"/>
              <w:left w:val="nil"/>
              <w:bottom w:val="single" w:sz="8" w:space="0" w:color="auto"/>
              <w:right w:val="single" w:sz="4" w:space="0" w:color="auto"/>
            </w:tcBorders>
            <w:shd w:val="clear" w:color="000000" w:fill="D9D9D9"/>
            <w:vAlign w:val="center"/>
          </w:tcPr>
          <w:p w14:paraId="6DC304A3"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204" w:type="dxa"/>
            <w:tcBorders>
              <w:top w:val="nil"/>
              <w:left w:val="nil"/>
              <w:bottom w:val="single" w:sz="8" w:space="0" w:color="auto"/>
              <w:right w:val="single" w:sz="4" w:space="0" w:color="auto"/>
            </w:tcBorders>
            <w:shd w:val="clear" w:color="000000" w:fill="D9D9D9"/>
            <w:vAlign w:val="center"/>
          </w:tcPr>
          <w:p w14:paraId="6D95CBE9"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r>
      <w:tr w:rsidR="00C75BA1" w:rsidRPr="00C75BA1" w14:paraId="3DD1B2C6" w14:textId="77777777" w:rsidTr="00C75BA1">
        <w:trPr>
          <w:trHeight w:val="287"/>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38EEB9" w14:textId="77777777" w:rsidR="00C75BA1" w:rsidRPr="00C75BA1" w:rsidRDefault="00C75BA1" w:rsidP="00C75BA1">
            <w:pPr>
              <w:autoSpaceDE/>
              <w:autoSpaceDN/>
              <w:adjustRightInd/>
              <w:spacing w:after="0"/>
              <w:jc w:val="left"/>
              <w:rPr>
                <w:rFonts w:eastAsia="Times New Roman" w:cs="Arial"/>
                <w:b/>
                <w:bCs/>
                <w:lang w:eastAsia="en-GB"/>
              </w:rPr>
            </w:pPr>
            <w:r w:rsidRPr="00C75BA1">
              <w:rPr>
                <w:rFonts w:eastAsia="Times New Roman" w:cs="Arial"/>
                <w:b/>
                <w:bCs/>
                <w:lang w:eastAsia="en-GB"/>
              </w:rPr>
              <w:t>Total Education Childrens Services</w:t>
            </w:r>
          </w:p>
        </w:tc>
        <w:tc>
          <w:tcPr>
            <w:tcW w:w="939" w:type="dxa"/>
            <w:tcBorders>
              <w:top w:val="single" w:sz="4" w:space="0" w:color="auto"/>
              <w:left w:val="nil"/>
              <w:bottom w:val="single" w:sz="4" w:space="0" w:color="auto"/>
              <w:right w:val="single" w:sz="4" w:space="0" w:color="auto"/>
            </w:tcBorders>
            <w:shd w:val="clear" w:color="000000" w:fill="D9D9D9"/>
            <w:vAlign w:val="center"/>
            <w:hideMark/>
          </w:tcPr>
          <w:p w14:paraId="262B2226"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229.376</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5FC9D7B5"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240.925</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5D6514AB"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11.549</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09D6BCC4"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5.04%</w:t>
            </w:r>
          </w:p>
        </w:tc>
        <w:tc>
          <w:tcPr>
            <w:tcW w:w="1204" w:type="dxa"/>
            <w:tcBorders>
              <w:top w:val="single" w:sz="4" w:space="0" w:color="auto"/>
              <w:left w:val="nil"/>
              <w:bottom w:val="single" w:sz="4" w:space="0" w:color="auto"/>
              <w:right w:val="single" w:sz="4" w:space="0" w:color="auto"/>
            </w:tcBorders>
            <w:shd w:val="clear" w:color="000000" w:fill="D9D9D9"/>
            <w:vAlign w:val="center"/>
            <w:hideMark/>
          </w:tcPr>
          <w:p w14:paraId="0E145A1D"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10.707</w:t>
            </w:r>
          </w:p>
        </w:tc>
      </w:tr>
    </w:tbl>
    <w:p w14:paraId="497CDF7C" w14:textId="77777777" w:rsidR="000F78F1" w:rsidRPr="000F78F1" w:rsidRDefault="000F78F1" w:rsidP="000F78F1">
      <w:pPr>
        <w:tabs>
          <w:tab w:val="left" w:pos="0"/>
          <w:tab w:val="left" w:pos="1418"/>
        </w:tabs>
        <w:spacing w:after="0"/>
        <w:ind w:right="217"/>
        <w:contextualSpacing/>
        <w:rPr>
          <w:rFonts w:cs="Arial"/>
          <w:highlight w:val="yellow"/>
        </w:rPr>
      </w:pPr>
    </w:p>
    <w:bookmarkEnd w:id="12"/>
    <w:p w14:paraId="6FAB694B" w14:textId="763AB874" w:rsidR="00C92668" w:rsidRDefault="00C92668" w:rsidP="00C92668">
      <w:pPr>
        <w:tabs>
          <w:tab w:val="left" w:pos="1418"/>
        </w:tabs>
        <w:spacing w:after="0"/>
        <w:contextualSpacing/>
        <w:rPr>
          <w:rFonts w:cs="Arial"/>
        </w:rPr>
      </w:pPr>
      <w:r w:rsidRPr="00765F1A">
        <w:rPr>
          <w:rFonts w:cs="Arial"/>
        </w:rPr>
        <w:t>The total net approved budget for Education and Children's Services in 2022/23 is £229.3</w:t>
      </w:r>
      <w:r>
        <w:rPr>
          <w:rFonts w:cs="Arial"/>
        </w:rPr>
        <w:t>76</w:t>
      </w:r>
      <w:r w:rsidRPr="00765F1A">
        <w:rPr>
          <w:rFonts w:cs="Arial"/>
        </w:rPr>
        <w:t xml:space="preserve">m.  </w:t>
      </w:r>
      <w:r w:rsidRPr="5C492A22">
        <w:rPr>
          <w:rFonts w:cs="Arial"/>
        </w:rPr>
        <w:t xml:space="preserve">As at the end of November 2022, the service is forecast to overspend by £11.549m.  </w:t>
      </w:r>
    </w:p>
    <w:p w14:paraId="1DF360CD" w14:textId="77777777" w:rsidR="00C92668" w:rsidRDefault="00C92668" w:rsidP="00C92668">
      <w:pPr>
        <w:tabs>
          <w:tab w:val="left" w:pos="1418"/>
        </w:tabs>
        <w:spacing w:after="0"/>
        <w:contextualSpacing/>
        <w:rPr>
          <w:rFonts w:cs="Arial"/>
        </w:rPr>
      </w:pPr>
    </w:p>
    <w:p w14:paraId="1CD56A5F" w14:textId="687D2B53" w:rsidR="00C92668" w:rsidRDefault="00C92668" w:rsidP="00C92668">
      <w:pPr>
        <w:tabs>
          <w:tab w:val="left" w:pos="1418"/>
        </w:tabs>
        <w:spacing w:after="0"/>
        <w:contextualSpacing/>
        <w:rPr>
          <w:rFonts w:cs="Arial"/>
        </w:rPr>
      </w:pPr>
      <w:r>
        <w:rPr>
          <w:rFonts w:cs="Arial"/>
        </w:rPr>
        <w:t>Overall, f</w:t>
      </w:r>
      <w:r w:rsidRPr="00765F1A">
        <w:rPr>
          <w:rFonts w:cs="Arial"/>
        </w:rPr>
        <w:t xml:space="preserve">orecast overspends are mainly due to increases in placement costs </w:t>
      </w:r>
      <w:r>
        <w:rPr>
          <w:rFonts w:cs="Arial"/>
        </w:rPr>
        <w:t xml:space="preserve">over the last 12 months </w:t>
      </w:r>
      <w:r w:rsidRPr="00765F1A">
        <w:rPr>
          <w:rFonts w:cs="Arial"/>
        </w:rPr>
        <w:t>and</w:t>
      </w:r>
      <w:proofErr w:type="gramStart"/>
      <w:r w:rsidR="00FD30F5">
        <w:rPr>
          <w:rFonts w:cs="Arial"/>
        </w:rPr>
        <w:t>,</w:t>
      </w:r>
      <w:r w:rsidRPr="00765F1A">
        <w:rPr>
          <w:rFonts w:cs="Arial"/>
        </w:rPr>
        <w:t xml:space="preserve"> in particular</w:t>
      </w:r>
      <w:r w:rsidR="00FD30F5">
        <w:rPr>
          <w:rFonts w:cs="Arial"/>
        </w:rPr>
        <w:t>,</w:t>
      </w:r>
      <w:r w:rsidRPr="00765F1A">
        <w:rPr>
          <w:rFonts w:cs="Arial"/>
        </w:rPr>
        <w:t xml:space="preserve"> the</w:t>
      </w:r>
      <w:proofErr w:type="gramEnd"/>
      <w:r w:rsidRPr="00765F1A">
        <w:rPr>
          <w:rFonts w:cs="Arial"/>
        </w:rPr>
        <w:t xml:space="preserve"> number of children placed in agency residential accommodation</w:t>
      </w:r>
      <w:r>
        <w:rPr>
          <w:rFonts w:cs="Arial"/>
        </w:rPr>
        <w:t xml:space="preserve"> and </w:t>
      </w:r>
      <w:r w:rsidRPr="00765F1A">
        <w:rPr>
          <w:rFonts w:cs="Arial"/>
        </w:rPr>
        <w:t>increases in the average cost of these placements</w:t>
      </w:r>
      <w:r>
        <w:rPr>
          <w:rFonts w:cs="Arial"/>
        </w:rPr>
        <w:t xml:space="preserve">, and </w:t>
      </w:r>
      <w:r w:rsidRPr="00765F1A">
        <w:rPr>
          <w:rFonts w:cs="Arial"/>
        </w:rPr>
        <w:t>under recovery of income across various services</w:t>
      </w:r>
      <w:r>
        <w:rPr>
          <w:rFonts w:cs="Arial"/>
        </w:rPr>
        <w:t>.  Whilst t</w:t>
      </w:r>
      <w:r w:rsidRPr="00765F1A">
        <w:rPr>
          <w:rFonts w:cs="Arial"/>
        </w:rPr>
        <w:t xml:space="preserve">hese pressures are offset by underspends on </w:t>
      </w:r>
      <w:r>
        <w:rPr>
          <w:rFonts w:cs="Arial"/>
        </w:rPr>
        <w:t xml:space="preserve">staff due to vacancies and </w:t>
      </w:r>
      <w:r w:rsidRPr="00765F1A">
        <w:rPr>
          <w:rFonts w:cs="Arial"/>
        </w:rPr>
        <w:t>non-staff costs across several services</w:t>
      </w:r>
      <w:r>
        <w:rPr>
          <w:rFonts w:cs="Arial"/>
        </w:rPr>
        <w:t>, the staff forecast</w:t>
      </w:r>
      <w:r w:rsidRPr="00082CDD">
        <w:rPr>
          <w:rFonts w:cs="Arial"/>
        </w:rPr>
        <w:t xml:space="preserve"> </w:t>
      </w:r>
      <w:r>
        <w:rPr>
          <w:rFonts w:cs="Arial"/>
        </w:rPr>
        <w:t>does reflect the recent pay award, which is higher than what was budgeted for</w:t>
      </w:r>
      <w:r w:rsidR="002427A9">
        <w:rPr>
          <w:rFonts w:cs="Arial"/>
        </w:rPr>
        <w:t>,</w:t>
      </w:r>
      <w:r>
        <w:rPr>
          <w:rFonts w:cs="Arial"/>
        </w:rPr>
        <w:t xml:space="preserve"> and the reduction in </w:t>
      </w:r>
      <w:r w:rsidR="004D1FF0">
        <w:rPr>
          <w:rFonts w:cs="Arial"/>
        </w:rPr>
        <w:t xml:space="preserve">National Insurance </w:t>
      </w:r>
      <w:r>
        <w:rPr>
          <w:rFonts w:cs="Arial"/>
        </w:rPr>
        <w:t>from November 2022</w:t>
      </w:r>
      <w:r w:rsidRPr="00765F1A">
        <w:rPr>
          <w:rFonts w:cs="Arial"/>
        </w:rPr>
        <w:t>.</w:t>
      </w:r>
    </w:p>
    <w:p w14:paraId="0E6A3925" w14:textId="77777777" w:rsidR="00C92668" w:rsidRDefault="00C92668" w:rsidP="00C92668">
      <w:pPr>
        <w:spacing w:after="0"/>
        <w:rPr>
          <w:rFonts w:cs="Arial"/>
          <w:b/>
          <w:bCs/>
        </w:rPr>
      </w:pPr>
    </w:p>
    <w:p w14:paraId="3EFBA4E6" w14:textId="77777777" w:rsidR="00C92668" w:rsidRPr="003E0254" w:rsidRDefault="00C92668" w:rsidP="00C92668">
      <w:pPr>
        <w:spacing w:after="0"/>
        <w:rPr>
          <w:rFonts w:cs="Arial"/>
          <w:b/>
          <w:bCs/>
        </w:rPr>
      </w:pPr>
      <w:r w:rsidRPr="003E0254">
        <w:rPr>
          <w:rFonts w:cs="Arial"/>
          <w:b/>
          <w:bCs/>
        </w:rPr>
        <w:t>Children's Social Care – Overspend £</w:t>
      </w:r>
      <w:r>
        <w:rPr>
          <w:rFonts w:cs="Arial"/>
          <w:b/>
          <w:bCs/>
        </w:rPr>
        <w:t>12.532m</w:t>
      </w:r>
    </w:p>
    <w:p w14:paraId="4E2E2038" w14:textId="10C6D187" w:rsidR="00C92668" w:rsidRDefault="00C92668" w:rsidP="00C92668">
      <w:pPr>
        <w:spacing w:after="0"/>
        <w:rPr>
          <w:rFonts w:cs="Arial"/>
        </w:rPr>
      </w:pPr>
      <w:r w:rsidRPr="008E0109">
        <w:rPr>
          <w:rFonts w:cs="Arial"/>
        </w:rPr>
        <w:t xml:space="preserve">The largest areas of spend within the Children's Social Care Service are for residential and fostering placements for children in </w:t>
      </w:r>
      <w:r w:rsidR="003A3D98">
        <w:rPr>
          <w:rFonts w:cs="Arial"/>
        </w:rPr>
        <w:t>the</w:t>
      </w:r>
      <w:r w:rsidRPr="008E0109">
        <w:rPr>
          <w:rFonts w:cs="Arial"/>
        </w:rPr>
        <w:t xml:space="preserve"> care and social work teams, with activity </w:t>
      </w:r>
      <w:r w:rsidRPr="008E0109">
        <w:rPr>
          <w:rFonts w:cs="Arial"/>
        </w:rPr>
        <w:lastRenderedPageBreak/>
        <w:t xml:space="preserve">cutting across </w:t>
      </w:r>
      <w:proofErr w:type="gramStart"/>
      <w:r w:rsidRPr="008E0109">
        <w:rPr>
          <w:rFonts w:cs="Arial"/>
        </w:rPr>
        <w:t>a number of</w:t>
      </w:r>
      <w:proofErr w:type="gramEnd"/>
      <w:r w:rsidRPr="008E0109">
        <w:rPr>
          <w:rFonts w:cs="Arial"/>
        </w:rPr>
        <w:t xml:space="preserve"> service areas</w:t>
      </w:r>
      <w:r w:rsidR="00E86BBC">
        <w:rPr>
          <w:rFonts w:cs="Arial"/>
        </w:rPr>
        <w:t xml:space="preserve"> which are </w:t>
      </w:r>
      <w:r w:rsidRPr="008E0109">
        <w:rPr>
          <w:rFonts w:cs="Arial"/>
        </w:rPr>
        <w:t xml:space="preserve">forecast to </w:t>
      </w:r>
      <w:r w:rsidRPr="00714675">
        <w:rPr>
          <w:rFonts w:cs="Arial"/>
        </w:rPr>
        <w:t xml:space="preserve">overspend by </w:t>
      </w:r>
      <w:r>
        <w:rPr>
          <w:rFonts w:cs="Arial"/>
        </w:rPr>
        <w:t>c</w:t>
      </w:r>
      <w:r w:rsidRPr="00714675">
        <w:rPr>
          <w:rFonts w:cs="Arial"/>
        </w:rPr>
        <w:t>£</w:t>
      </w:r>
      <w:r>
        <w:rPr>
          <w:rFonts w:cs="Arial"/>
        </w:rPr>
        <w:t>7</w:t>
      </w:r>
      <w:r w:rsidRPr="00714675">
        <w:rPr>
          <w:rFonts w:cs="Arial"/>
        </w:rPr>
        <w:t>.</w:t>
      </w:r>
      <w:r>
        <w:rPr>
          <w:rFonts w:cs="Arial"/>
        </w:rPr>
        <w:t>000</w:t>
      </w:r>
      <w:r w:rsidRPr="00714675">
        <w:rPr>
          <w:rFonts w:cs="Arial"/>
        </w:rPr>
        <w:t>m.</w:t>
      </w:r>
      <w:r w:rsidRPr="008E0109">
        <w:rPr>
          <w:rFonts w:cs="Arial"/>
        </w:rPr>
        <w:t>  </w:t>
      </w:r>
    </w:p>
    <w:p w14:paraId="157AE48E" w14:textId="269ED49C" w:rsidR="00B9329C" w:rsidRDefault="00B9329C" w:rsidP="00C92668">
      <w:pPr>
        <w:spacing w:after="0"/>
        <w:rPr>
          <w:rFonts w:cs="Arial"/>
        </w:rPr>
      </w:pPr>
    </w:p>
    <w:p w14:paraId="474DA354" w14:textId="6471CE0B" w:rsidR="00B9329C" w:rsidRPr="00B9329C" w:rsidRDefault="00B9329C" w:rsidP="00B9329C">
      <w:pPr>
        <w:spacing w:after="0"/>
        <w:rPr>
          <w:rFonts w:cs="Arial"/>
        </w:rPr>
      </w:pPr>
      <w:r w:rsidRPr="00B9329C">
        <w:rPr>
          <w:rFonts w:cs="Arial"/>
        </w:rPr>
        <w:t>Agency Fostering spend has reduced over the last two years</w:t>
      </w:r>
      <w:r w:rsidR="0021674B">
        <w:rPr>
          <w:rFonts w:cs="Arial"/>
        </w:rPr>
        <w:t>,</w:t>
      </w:r>
      <w:r w:rsidRPr="00B9329C">
        <w:rPr>
          <w:rFonts w:cs="Arial"/>
        </w:rPr>
        <w:t xml:space="preserve"> but greater savings were anticipated against this budget line due to the fewer number of children entering care. There has been a decrease in the number of children in </w:t>
      </w:r>
      <w:r w:rsidR="00C213B3">
        <w:rPr>
          <w:rFonts w:cs="Arial"/>
        </w:rPr>
        <w:t>county council</w:t>
      </w:r>
      <w:r w:rsidRPr="00B9329C">
        <w:rPr>
          <w:rFonts w:cs="Arial"/>
        </w:rPr>
        <w:t xml:space="preserve"> care over the last </w:t>
      </w:r>
      <w:r w:rsidR="00111805">
        <w:rPr>
          <w:rFonts w:cs="Arial"/>
        </w:rPr>
        <w:t>two</w:t>
      </w:r>
      <w:r w:rsidR="00111805" w:rsidRPr="00B9329C">
        <w:rPr>
          <w:rFonts w:cs="Arial"/>
        </w:rPr>
        <w:t xml:space="preserve"> </w:t>
      </w:r>
      <w:r w:rsidRPr="00B9329C">
        <w:rPr>
          <w:rFonts w:cs="Arial"/>
        </w:rPr>
        <w:t>years</w:t>
      </w:r>
      <w:r w:rsidR="00111805">
        <w:rPr>
          <w:rFonts w:cs="Arial"/>
        </w:rPr>
        <w:t>,</w:t>
      </w:r>
      <w:r w:rsidRPr="00B9329C">
        <w:rPr>
          <w:rFonts w:cs="Arial"/>
        </w:rPr>
        <w:t xml:space="preserve"> and on average the number of children entering care has fallen since September 2020 from 2,085 (excluding children with disabilities) to 1,859 in October 2022, a reduction of 226 (c11%) with most of this reduction occurring since January 2021.</w:t>
      </w:r>
    </w:p>
    <w:p w14:paraId="087FB871" w14:textId="77777777" w:rsidR="00B9329C" w:rsidRPr="00B9329C" w:rsidRDefault="00B9329C" w:rsidP="00B9329C">
      <w:pPr>
        <w:spacing w:after="0"/>
        <w:rPr>
          <w:rFonts w:cs="Arial"/>
        </w:rPr>
      </w:pPr>
    </w:p>
    <w:p w14:paraId="26D3823F" w14:textId="14BEA04E" w:rsidR="00B9329C" w:rsidRPr="00B9329C" w:rsidRDefault="00B9329C" w:rsidP="00B9329C">
      <w:pPr>
        <w:spacing w:after="0"/>
        <w:rPr>
          <w:rFonts w:cs="Arial"/>
        </w:rPr>
      </w:pPr>
      <w:r w:rsidRPr="00B9329C">
        <w:rPr>
          <w:rFonts w:cs="Arial"/>
        </w:rPr>
        <w:t>Overall,</w:t>
      </w:r>
      <w:r w:rsidR="00D002FC">
        <w:rPr>
          <w:rFonts w:cs="Arial"/>
        </w:rPr>
        <w:t xml:space="preserve"> t</w:t>
      </w:r>
      <w:r w:rsidRPr="00B9329C">
        <w:rPr>
          <w:rFonts w:cs="Arial"/>
        </w:rPr>
        <w:t xml:space="preserve">here has not however been a reduction in agency fostering costs due to increases in the average cost per placement, </w:t>
      </w:r>
      <w:r w:rsidR="00B4057A" w:rsidRPr="00B9329C">
        <w:rPr>
          <w:rFonts w:cs="Arial"/>
        </w:rPr>
        <w:t>possibl</w:t>
      </w:r>
      <w:r w:rsidR="00B4057A">
        <w:rPr>
          <w:rFonts w:cs="Arial"/>
        </w:rPr>
        <w:t>y</w:t>
      </w:r>
      <w:r w:rsidR="00B4057A" w:rsidRPr="00B9329C">
        <w:rPr>
          <w:rFonts w:cs="Arial"/>
        </w:rPr>
        <w:t xml:space="preserve"> </w:t>
      </w:r>
      <w:r w:rsidRPr="00B9329C">
        <w:rPr>
          <w:rFonts w:cs="Arial"/>
        </w:rPr>
        <w:t xml:space="preserve">linked in part to inflationary uplifts in contract prices. As well as this, the needs of children entering care have become more complex, resulting in higher cost agency fostering placements or high-cost residential placements being made. </w:t>
      </w:r>
    </w:p>
    <w:p w14:paraId="1B387166" w14:textId="77777777" w:rsidR="00B9329C" w:rsidRPr="00B9329C" w:rsidRDefault="00B9329C" w:rsidP="00B9329C">
      <w:pPr>
        <w:spacing w:after="0"/>
        <w:rPr>
          <w:rFonts w:cs="Arial"/>
        </w:rPr>
      </w:pPr>
    </w:p>
    <w:p w14:paraId="364F20EA" w14:textId="4234E8CA" w:rsidR="00B9329C" w:rsidRDefault="00B9329C" w:rsidP="00B9329C">
      <w:pPr>
        <w:spacing w:after="0"/>
        <w:rPr>
          <w:rFonts w:cs="Arial"/>
        </w:rPr>
      </w:pPr>
      <w:r w:rsidRPr="00B9329C">
        <w:rPr>
          <w:rFonts w:cs="Arial"/>
        </w:rPr>
        <w:t>The service is undertaking a range of activity to address placement sufficiency and to ensure more children can be cared for within families wherever possible. Where this is not possible</w:t>
      </w:r>
      <w:r w:rsidR="009B754E">
        <w:rPr>
          <w:rFonts w:cs="Arial"/>
        </w:rPr>
        <w:t>,</w:t>
      </w:r>
      <w:r w:rsidRPr="00B9329C">
        <w:rPr>
          <w:rFonts w:cs="Arial"/>
        </w:rPr>
        <w:t xml:space="preserve"> more children will be placed in local authority owned children's homes. For example, innovative approaches are being explored that would enable the </w:t>
      </w:r>
      <w:r w:rsidR="00717993">
        <w:rPr>
          <w:rFonts w:cs="Arial"/>
        </w:rPr>
        <w:t>county council</w:t>
      </w:r>
      <w:r w:rsidRPr="00B9329C">
        <w:rPr>
          <w:rFonts w:cs="Arial"/>
        </w:rPr>
        <w:t xml:space="preserve"> to recruit and support more foster carers who could provide homes for children aged 13 plus</w:t>
      </w:r>
      <w:r w:rsidR="00BD1B82">
        <w:rPr>
          <w:rFonts w:cs="Arial"/>
        </w:rPr>
        <w:t>,</w:t>
      </w:r>
      <w:r w:rsidRPr="00B9329C">
        <w:rPr>
          <w:rFonts w:cs="Arial"/>
        </w:rPr>
        <w:t xml:space="preserve"> who can present some challenges to traditional foster carers. This</w:t>
      </w:r>
      <w:r w:rsidR="00BD1B82">
        <w:rPr>
          <w:rFonts w:cs="Arial"/>
        </w:rPr>
        <w:t>,</w:t>
      </w:r>
      <w:r w:rsidRPr="00B9329C">
        <w:rPr>
          <w:rFonts w:cs="Arial"/>
        </w:rPr>
        <w:t xml:space="preserve"> along with other mechanisms</w:t>
      </w:r>
      <w:r w:rsidR="00BD1B82">
        <w:rPr>
          <w:rFonts w:cs="Arial"/>
        </w:rPr>
        <w:t>,</w:t>
      </w:r>
      <w:r w:rsidRPr="00B9329C">
        <w:rPr>
          <w:rFonts w:cs="Arial"/>
        </w:rPr>
        <w:t xml:space="preserve"> could increase inhouse fostering sufficiency and reduce dependency on the agency fostering market and residential settings. Where residential homes are required, the local authority plans to increase its own capacity by 10 beds in the next financial year.</w:t>
      </w:r>
    </w:p>
    <w:p w14:paraId="68EAA1D7" w14:textId="5BA8FD16" w:rsidR="00C92668" w:rsidRPr="008E0109" w:rsidRDefault="00C92668" w:rsidP="00C92668">
      <w:pPr>
        <w:spacing w:after="0"/>
        <w:rPr>
          <w:rFonts w:cs="Arial"/>
        </w:rPr>
      </w:pPr>
      <w:r w:rsidRPr="008E0109">
        <w:rPr>
          <w:rFonts w:cs="Arial"/>
        </w:rPr>
        <w:t> </w:t>
      </w:r>
    </w:p>
    <w:p w14:paraId="1AA3FB6C" w14:textId="6651C629" w:rsidR="00C92668" w:rsidRDefault="00C92668" w:rsidP="00C92668">
      <w:pPr>
        <w:spacing w:after="0"/>
        <w:rPr>
          <w:rFonts w:cs="Arial"/>
        </w:rPr>
      </w:pPr>
      <w:r w:rsidRPr="008E0109">
        <w:rPr>
          <w:rFonts w:cs="Arial"/>
        </w:rPr>
        <w:t xml:space="preserve">The fall in numbers </w:t>
      </w:r>
      <w:r w:rsidR="00B9329C">
        <w:rPr>
          <w:rFonts w:cs="Arial"/>
        </w:rPr>
        <w:t xml:space="preserve">of children in </w:t>
      </w:r>
      <w:r w:rsidR="00E22101">
        <w:rPr>
          <w:rFonts w:cs="Arial"/>
        </w:rPr>
        <w:t>the county council's</w:t>
      </w:r>
      <w:r w:rsidR="00B9329C">
        <w:rPr>
          <w:rFonts w:cs="Arial"/>
        </w:rPr>
        <w:t xml:space="preserve"> care </w:t>
      </w:r>
      <w:r w:rsidRPr="008E0109">
        <w:rPr>
          <w:rFonts w:cs="Arial"/>
        </w:rPr>
        <w:t>over this period is largely due to the impact of the implementation of Lancashire Family Safeguarding in February 2021 and the pandemic</w:t>
      </w:r>
      <w:r w:rsidR="00862C2B">
        <w:rPr>
          <w:rFonts w:cs="Arial"/>
        </w:rPr>
        <w:t>,</w:t>
      </w:r>
      <w:r w:rsidRPr="008E0109">
        <w:rPr>
          <w:rFonts w:cs="Arial"/>
        </w:rPr>
        <w:t xml:space="preserve"> with a reduction in both referrals and new assessments started over </w:t>
      </w:r>
      <w:r>
        <w:rPr>
          <w:rFonts w:cs="Arial"/>
        </w:rPr>
        <w:t xml:space="preserve">this </w:t>
      </w:r>
      <w:r w:rsidRPr="008E0109">
        <w:rPr>
          <w:rFonts w:cs="Arial"/>
        </w:rPr>
        <w:t>period.  Whilst there was some early delivery of L</w:t>
      </w:r>
      <w:r w:rsidR="00C11D5C">
        <w:rPr>
          <w:rFonts w:cs="Arial"/>
        </w:rPr>
        <w:t xml:space="preserve">ancashire </w:t>
      </w:r>
      <w:r w:rsidRPr="008E0109">
        <w:rPr>
          <w:rFonts w:cs="Arial"/>
        </w:rPr>
        <w:t>F</w:t>
      </w:r>
      <w:r w:rsidR="00C11D5C">
        <w:rPr>
          <w:rFonts w:cs="Arial"/>
        </w:rPr>
        <w:t xml:space="preserve">amily </w:t>
      </w:r>
      <w:r w:rsidRPr="008E0109">
        <w:rPr>
          <w:rFonts w:cs="Arial"/>
        </w:rPr>
        <w:t>S</w:t>
      </w:r>
      <w:r w:rsidR="00C11D5C">
        <w:rPr>
          <w:rFonts w:cs="Arial"/>
        </w:rPr>
        <w:t>afeguarding</w:t>
      </w:r>
      <w:r w:rsidRPr="008E0109">
        <w:rPr>
          <w:rFonts w:cs="Arial"/>
        </w:rPr>
        <w:t xml:space="preserve"> savings in 2021/22</w:t>
      </w:r>
      <w:r w:rsidR="009934B0">
        <w:rPr>
          <w:rFonts w:cs="Arial"/>
        </w:rPr>
        <w:t>,</w:t>
      </w:r>
      <w:r w:rsidRPr="008E0109">
        <w:rPr>
          <w:rFonts w:cs="Arial"/>
        </w:rPr>
        <w:t xml:space="preserve"> the number of new entrants aged 0-12 has been above the level required to deliver recurring savings </w:t>
      </w:r>
      <w:r>
        <w:rPr>
          <w:rFonts w:cs="Arial"/>
        </w:rPr>
        <w:t>during the early part of 2022/23</w:t>
      </w:r>
      <w:r w:rsidR="00A731E2">
        <w:rPr>
          <w:rFonts w:cs="Arial"/>
        </w:rPr>
        <w:t>,</w:t>
      </w:r>
      <w:r w:rsidRPr="008E0109">
        <w:rPr>
          <w:rFonts w:cs="Arial"/>
        </w:rPr>
        <w:t xml:space="preserve"> and assuming they continue at </w:t>
      </w:r>
      <w:r>
        <w:rPr>
          <w:rFonts w:cs="Arial"/>
        </w:rPr>
        <w:t xml:space="preserve">current </w:t>
      </w:r>
      <w:r w:rsidRPr="008E0109">
        <w:rPr>
          <w:rFonts w:cs="Arial"/>
        </w:rPr>
        <w:t>level</w:t>
      </w:r>
      <w:r>
        <w:rPr>
          <w:rFonts w:cs="Arial"/>
        </w:rPr>
        <w:t>s</w:t>
      </w:r>
      <w:r w:rsidRPr="008E0109">
        <w:rPr>
          <w:rFonts w:cs="Arial"/>
        </w:rPr>
        <w:t xml:space="preserve"> an under delivery of savings of c£0.</w:t>
      </w:r>
      <w:r>
        <w:rPr>
          <w:rFonts w:cs="Arial"/>
        </w:rPr>
        <w:t>600</w:t>
      </w:r>
      <w:r w:rsidRPr="008E0109">
        <w:rPr>
          <w:rFonts w:cs="Arial"/>
        </w:rPr>
        <w:t xml:space="preserve">m is expected in 2022/23.  Forecast delivery of savings has improved since quarter </w:t>
      </w:r>
      <w:r>
        <w:rPr>
          <w:rFonts w:cs="Arial"/>
        </w:rPr>
        <w:t>2</w:t>
      </w:r>
      <w:r w:rsidR="00A731E2">
        <w:rPr>
          <w:rFonts w:cs="Arial"/>
        </w:rPr>
        <w:t>,</w:t>
      </w:r>
      <w:r w:rsidRPr="008E0109">
        <w:rPr>
          <w:rFonts w:cs="Arial"/>
        </w:rPr>
        <w:t xml:space="preserve"> following a decrease in numbers of children aged 0-12 entering care in the last </w:t>
      </w:r>
      <w:r>
        <w:rPr>
          <w:rFonts w:cs="Arial"/>
        </w:rPr>
        <w:t>2 to 3</w:t>
      </w:r>
      <w:r w:rsidRPr="008E0109">
        <w:rPr>
          <w:rFonts w:cs="Arial"/>
        </w:rPr>
        <w:t xml:space="preserve"> months.</w:t>
      </w:r>
    </w:p>
    <w:p w14:paraId="73EFFEDC" w14:textId="77777777" w:rsidR="00C92668" w:rsidRDefault="00C92668" w:rsidP="00C92668">
      <w:pPr>
        <w:spacing w:after="0"/>
        <w:rPr>
          <w:rFonts w:cs="Arial"/>
        </w:rPr>
      </w:pPr>
    </w:p>
    <w:p w14:paraId="00D394D5" w14:textId="5F8DA9BC" w:rsidR="00C92668" w:rsidRDefault="00C92668" w:rsidP="00C92668">
      <w:pPr>
        <w:spacing w:after="0"/>
        <w:rPr>
          <w:rFonts w:cs="Arial"/>
        </w:rPr>
      </w:pPr>
      <w:r>
        <w:rPr>
          <w:rFonts w:cs="Arial"/>
        </w:rPr>
        <w:t>The forecast for 2022/23 assumes that costs will continue to increase broadly in line with average monthly increases during the last 3 months</w:t>
      </w:r>
      <w:r w:rsidR="00683E43">
        <w:rPr>
          <w:rFonts w:cs="Arial"/>
        </w:rPr>
        <w:t>,</w:t>
      </w:r>
      <w:r>
        <w:rPr>
          <w:rFonts w:cs="Arial"/>
        </w:rPr>
        <w:t xml:space="preserve"> which is lower than the average monthly increase over the last 12 months</w:t>
      </w:r>
      <w:r w:rsidR="00D25451">
        <w:rPr>
          <w:rFonts w:cs="Arial"/>
        </w:rPr>
        <w:t>,</w:t>
      </w:r>
      <w:r>
        <w:rPr>
          <w:rFonts w:cs="Arial"/>
        </w:rPr>
        <w:t xml:space="preserve"> suggesting demand increases are slowing down.  </w:t>
      </w:r>
    </w:p>
    <w:p w14:paraId="74C5F627" w14:textId="69811C85" w:rsidR="00B9329C" w:rsidRDefault="00B9329C" w:rsidP="00C92668">
      <w:pPr>
        <w:spacing w:after="0"/>
        <w:rPr>
          <w:rFonts w:cs="Arial"/>
        </w:rPr>
      </w:pPr>
    </w:p>
    <w:p w14:paraId="1F9AE518" w14:textId="02170C10" w:rsidR="00B9329C" w:rsidRPr="00B9329C" w:rsidRDefault="00B9329C" w:rsidP="00B9329C">
      <w:pPr>
        <w:spacing w:after="0"/>
        <w:rPr>
          <w:rFonts w:cs="Arial"/>
        </w:rPr>
      </w:pPr>
      <w:r w:rsidRPr="00B9329C">
        <w:rPr>
          <w:rFonts w:cs="Arial"/>
        </w:rPr>
        <w:t>The numbers of children entering care who are aged 13 plus has broadly remained consistent and is an area of focus for the service. A project is currently underway that aims to support more families to remain together where children are at risk of exploitation and family breakdown. This would help to reduce the overall number of children entering care and result in further cost avoidance</w:t>
      </w:r>
      <w:r w:rsidR="007A4B82">
        <w:rPr>
          <w:rFonts w:cs="Arial"/>
        </w:rPr>
        <w:t>.</w:t>
      </w:r>
    </w:p>
    <w:p w14:paraId="0FCCF9C8" w14:textId="77777777" w:rsidR="00B9329C" w:rsidRPr="00B9329C" w:rsidRDefault="00B9329C" w:rsidP="00B9329C">
      <w:pPr>
        <w:spacing w:after="0"/>
        <w:rPr>
          <w:rFonts w:cs="Arial"/>
        </w:rPr>
      </w:pPr>
    </w:p>
    <w:p w14:paraId="45973177" w14:textId="0A26FBE2" w:rsidR="00B9329C" w:rsidRPr="00B9329C" w:rsidRDefault="00B9329C" w:rsidP="00B9329C">
      <w:pPr>
        <w:spacing w:after="0"/>
        <w:rPr>
          <w:rFonts w:cs="Arial"/>
        </w:rPr>
      </w:pPr>
      <w:r w:rsidRPr="00B9329C">
        <w:rPr>
          <w:rFonts w:cs="Arial"/>
        </w:rPr>
        <w:lastRenderedPageBreak/>
        <w:t xml:space="preserve">The Children with Disabilities Team has recently moved into the Children's Social Care Service area. Agency residential and fostering placements for children with disabilities is forecast to overspend by c£1.100m, offset by underspends of c£100,000 on </w:t>
      </w:r>
      <w:r w:rsidR="00D73A9A">
        <w:rPr>
          <w:rFonts w:cs="Arial"/>
        </w:rPr>
        <w:t xml:space="preserve">children with </w:t>
      </w:r>
      <w:proofErr w:type="spellStart"/>
      <w:r w:rsidR="00D73A9A">
        <w:rPr>
          <w:rFonts w:cs="Arial"/>
        </w:rPr>
        <w:t>diasabilities</w:t>
      </w:r>
      <w:proofErr w:type="spellEnd"/>
      <w:r w:rsidRPr="00B9329C">
        <w:rPr>
          <w:rFonts w:cs="Arial"/>
        </w:rPr>
        <w:t xml:space="preserve"> family support.  Spend on agency residential placements has increased in recent years beyond what has been reflected in the budget, with significant increases since March 2021.  The forecast includes estimated health contributions of c£1.200m however of this c£600,000 relates to 2021/22.  In addition, </w:t>
      </w:r>
      <w:r w:rsidR="002C56ED">
        <w:rPr>
          <w:rFonts w:cs="Arial"/>
        </w:rPr>
        <w:t>children with disabilities</w:t>
      </w:r>
      <w:r w:rsidRPr="00B9329C">
        <w:rPr>
          <w:rFonts w:cs="Arial"/>
        </w:rPr>
        <w:t xml:space="preserve"> Direct Payments are forecast to overspend by c£500,000 which reflects an increase in the number of referrals compared to 2021/22.</w:t>
      </w:r>
    </w:p>
    <w:p w14:paraId="54518AD4" w14:textId="77777777" w:rsidR="00B9329C" w:rsidRPr="00B9329C" w:rsidRDefault="00B9329C" w:rsidP="00B9329C">
      <w:pPr>
        <w:spacing w:after="0"/>
        <w:rPr>
          <w:rFonts w:cs="Arial"/>
        </w:rPr>
      </w:pPr>
    </w:p>
    <w:p w14:paraId="192FF8F4" w14:textId="7F73C167" w:rsidR="00B9329C" w:rsidRDefault="00B9329C" w:rsidP="00B9329C">
      <w:pPr>
        <w:spacing w:after="0"/>
        <w:rPr>
          <w:rFonts w:cs="Arial"/>
        </w:rPr>
      </w:pPr>
      <w:r w:rsidRPr="00B9329C">
        <w:rPr>
          <w:rFonts w:cs="Arial"/>
        </w:rPr>
        <w:t xml:space="preserve">All of these placements are now subject to the newly introduced approval process that brings Heads of Service together with the Director of </w:t>
      </w:r>
      <w:r w:rsidR="00EF0B11">
        <w:rPr>
          <w:rFonts w:cs="Arial"/>
        </w:rPr>
        <w:t>C</w:t>
      </w:r>
      <w:r w:rsidR="00EF0B11" w:rsidRPr="00B9329C">
        <w:rPr>
          <w:rFonts w:cs="Arial"/>
        </w:rPr>
        <w:t xml:space="preserve">hildren's </w:t>
      </w:r>
      <w:r w:rsidRPr="00B9329C">
        <w:rPr>
          <w:rFonts w:cs="Arial"/>
        </w:rPr>
        <w:t xml:space="preserve">Social Care to discuss alternative options for children who may require </w:t>
      </w:r>
      <w:proofErr w:type="gramStart"/>
      <w:r w:rsidRPr="00B9329C">
        <w:rPr>
          <w:rFonts w:cs="Arial"/>
        </w:rPr>
        <w:t>high cost</w:t>
      </w:r>
      <w:proofErr w:type="gramEnd"/>
      <w:r w:rsidRPr="00B9329C">
        <w:rPr>
          <w:rFonts w:cs="Arial"/>
        </w:rPr>
        <w:t xml:space="preserve"> placements. Where a high cost placement is required, supplier costs are </w:t>
      </w:r>
      <w:r w:rsidR="009B6417" w:rsidRPr="00B9329C">
        <w:rPr>
          <w:rFonts w:cs="Arial"/>
        </w:rPr>
        <w:t>scrutinised</w:t>
      </w:r>
      <w:r w:rsidRPr="00B9329C">
        <w:rPr>
          <w:rFonts w:cs="Arial"/>
        </w:rPr>
        <w:t xml:space="preserve"> and challenged using a nationally recognised care costing tool. </w:t>
      </w:r>
      <w:r w:rsidR="009B6417" w:rsidRPr="00B9329C">
        <w:rPr>
          <w:rFonts w:cs="Arial"/>
        </w:rPr>
        <w:t>Alongside</w:t>
      </w:r>
      <w:r w:rsidRPr="00B9329C">
        <w:rPr>
          <w:rFonts w:cs="Arial"/>
        </w:rPr>
        <w:t xml:space="preserve"> this it is anticipated that two of the new Council run children's homes will meet some of this demand for children with disabilities.</w:t>
      </w:r>
    </w:p>
    <w:p w14:paraId="02CEA2BA" w14:textId="77777777" w:rsidR="00C92668" w:rsidRDefault="00C92668" w:rsidP="00C92668">
      <w:pPr>
        <w:spacing w:after="0"/>
        <w:rPr>
          <w:rFonts w:cs="Arial"/>
        </w:rPr>
      </w:pPr>
    </w:p>
    <w:p w14:paraId="50016C25" w14:textId="7A3C5CE8" w:rsidR="00C92668" w:rsidRDefault="00C92668" w:rsidP="00C92668">
      <w:pPr>
        <w:spacing w:after="0"/>
        <w:rPr>
          <w:rFonts w:cs="Arial"/>
        </w:rPr>
      </w:pPr>
      <w:r w:rsidRPr="008E0109">
        <w:rPr>
          <w:rFonts w:cs="Arial"/>
        </w:rPr>
        <w:t>Forecast overspends on social work and other teams including staff related costs of c£3.</w:t>
      </w:r>
      <w:r>
        <w:rPr>
          <w:rFonts w:cs="Arial"/>
        </w:rPr>
        <w:t>400</w:t>
      </w:r>
      <w:r w:rsidRPr="008E0109">
        <w:rPr>
          <w:rFonts w:cs="Arial"/>
        </w:rPr>
        <w:t>m are in part due to the use of agency and managed service staff to fill vacant posts</w:t>
      </w:r>
      <w:r>
        <w:rPr>
          <w:rFonts w:cs="Arial"/>
        </w:rPr>
        <w:t>.</w:t>
      </w:r>
      <w:r w:rsidR="00B9329C">
        <w:rPr>
          <w:rFonts w:cs="Arial"/>
        </w:rPr>
        <w:t xml:space="preserve"> </w:t>
      </w:r>
      <w:r w:rsidR="00B9329C" w:rsidRPr="00B9329C">
        <w:rPr>
          <w:rFonts w:cs="Arial"/>
        </w:rPr>
        <w:t>An updated recruitment and retention strategy is being launched which will bring a minimum of 75 new social workers into the council over the next 12 months. Retention activity aims to reduce turnover by 4%. This would result in a significantly more stable workforce and significantly reduce dependency on the agency market.</w:t>
      </w:r>
    </w:p>
    <w:p w14:paraId="1EFC50F5" w14:textId="77777777" w:rsidR="00C92668" w:rsidRDefault="00C92668" w:rsidP="00C92668">
      <w:pPr>
        <w:spacing w:after="0"/>
        <w:rPr>
          <w:rFonts w:cs="Arial"/>
        </w:rPr>
      </w:pPr>
    </w:p>
    <w:p w14:paraId="619EAD32" w14:textId="546BBD11" w:rsidR="00C92668" w:rsidRPr="00722388" w:rsidRDefault="00C92668" w:rsidP="00C92668">
      <w:pPr>
        <w:spacing w:after="0"/>
        <w:rPr>
          <w:rFonts w:cs="Arial"/>
        </w:rPr>
      </w:pPr>
      <w:r w:rsidRPr="00722388">
        <w:rPr>
          <w:rFonts w:cs="Arial"/>
        </w:rPr>
        <w:t>The budget for the Children's Social Care Service also covers other allowances, payments and assistance to families which are forecast to overspend by c£</w:t>
      </w:r>
      <w:r>
        <w:rPr>
          <w:rFonts w:cs="Arial"/>
        </w:rPr>
        <w:t>7</w:t>
      </w:r>
      <w:r w:rsidRPr="00722388">
        <w:rPr>
          <w:rFonts w:cs="Arial"/>
        </w:rPr>
        <w:t>00,000</w:t>
      </w:r>
      <w:r w:rsidR="00E00686">
        <w:rPr>
          <w:rFonts w:cs="Arial"/>
        </w:rPr>
        <w:t>,</w:t>
      </w:r>
      <w:r w:rsidRPr="00722388">
        <w:rPr>
          <w:rFonts w:cs="Arial"/>
        </w:rPr>
        <w:t xml:space="preserve"> the most significant of which are detailed </w:t>
      </w:r>
      <w:r w:rsidR="00004DA9">
        <w:rPr>
          <w:rFonts w:cs="Arial"/>
        </w:rPr>
        <w:t>as follows:</w:t>
      </w:r>
      <w:r w:rsidRPr="00722388">
        <w:rPr>
          <w:rFonts w:cs="Arial"/>
        </w:rPr>
        <w:t xml:space="preserve">  </w:t>
      </w:r>
    </w:p>
    <w:p w14:paraId="1F672FBB" w14:textId="6F639885" w:rsidR="00C92668" w:rsidRPr="00722388" w:rsidRDefault="00C92668" w:rsidP="00C92668">
      <w:pPr>
        <w:numPr>
          <w:ilvl w:val="0"/>
          <w:numId w:val="9"/>
        </w:numPr>
        <w:adjustRightInd/>
        <w:spacing w:after="0" w:line="252" w:lineRule="auto"/>
        <w:rPr>
          <w:rFonts w:eastAsia="Times New Roman" w:cs="Arial"/>
        </w:rPr>
      </w:pPr>
      <w:r w:rsidRPr="00722388">
        <w:rPr>
          <w:rFonts w:eastAsia="Times New Roman" w:cs="Arial"/>
        </w:rPr>
        <w:t>Regular payments and assistance to families is forecast to overspend by c£1.570m which is a c22% increase on spend in 2021/22.</w:t>
      </w:r>
      <w:r w:rsidR="00B9329C">
        <w:rPr>
          <w:rFonts w:eastAsia="Times New Roman" w:cs="Arial"/>
        </w:rPr>
        <w:t xml:space="preserve"> The service will seek to reduce this by accessing universal services more for vulnerable families.</w:t>
      </w:r>
    </w:p>
    <w:p w14:paraId="549EE73C" w14:textId="77777777" w:rsidR="00C92668" w:rsidRPr="00722388" w:rsidRDefault="00C92668" w:rsidP="00C92668">
      <w:pPr>
        <w:numPr>
          <w:ilvl w:val="0"/>
          <w:numId w:val="9"/>
        </w:numPr>
        <w:adjustRightInd/>
        <w:spacing w:after="0" w:line="252" w:lineRule="auto"/>
        <w:rPr>
          <w:rFonts w:eastAsia="Times New Roman" w:cs="Arial"/>
        </w:rPr>
      </w:pPr>
      <w:r w:rsidRPr="00722388">
        <w:rPr>
          <w:rFonts w:eastAsia="Times New Roman" w:cs="Arial"/>
        </w:rPr>
        <w:t>Leaving Care allowances are forecast to overspend by c£140,000.</w:t>
      </w:r>
    </w:p>
    <w:p w14:paraId="6F19BB84" w14:textId="5F220A64" w:rsidR="00C92668" w:rsidRPr="00722388" w:rsidRDefault="00C92668" w:rsidP="00C92668">
      <w:pPr>
        <w:numPr>
          <w:ilvl w:val="0"/>
          <w:numId w:val="9"/>
        </w:numPr>
        <w:adjustRightInd/>
        <w:spacing w:after="0" w:line="252" w:lineRule="auto"/>
        <w:rPr>
          <w:rFonts w:eastAsia="Times New Roman" w:cs="Arial"/>
        </w:rPr>
      </w:pPr>
      <w:r w:rsidRPr="00722388">
        <w:rPr>
          <w:rFonts w:eastAsia="Times New Roman" w:cs="Arial"/>
        </w:rPr>
        <w:t xml:space="preserve">Special Guardianship Orders and Child </w:t>
      </w:r>
      <w:r w:rsidR="009E4200">
        <w:rPr>
          <w:rFonts w:eastAsia="Times New Roman" w:cs="Arial"/>
        </w:rPr>
        <w:t>A</w:t>
      </w:r>
      <w:r w:rsidR="009E4200" w:rsidRPr="00722388">
        <w:rPr>
          <w:rFonts w:eastAsia="Times New Roman" w:cs="Arial"/>
        </w:rPr>
        <w:t xml:space="preserve">rrangement </w:t>
      </w:r>
      <w:r w:rsidR="009E4200">
        <w:rPr>
          <w:rFonts w:eastAsia="Times New Roman" w:cs="Arial"/>
        </w:rPr>
        <w:t>O</w:t>
      </w:r>
      <w:r w:rsidR="009E4200" w:rsidRPr="00722388">
        <w:rPr>
          <w:rFonts w:eastAsia="Times New Roman" w:cs="Arial"/>
        </w:rPr>
        <w:t>rders</w:t>
      </w:r>
      <w:r w:rsidRPr="00722388">
        <w:rPr>
          <w:rFonts w:eastAsia="Times New Roman" w:cs="Arial"/>
        </w:rPr>
        <w:t xml:space="preserve"> are forecast to underspend by c£500,000</w:t>
      </w:r>
      <w:r w:rsidR="00171686">
        <w:rPr>
          <w:rFonts w:eastAsia="Times New Roman" w:cs="Arial"/>
        </w:rPr>
        <w:t>,</w:t>
      </w:r>
      <w:r w:rsidRPr="00722388">
        <w:rPr>
          <w:rFonts w:eastAsia="Times New Roman" w:cs="Arial"/>
        </w:rPr>
        <w:t xml:space="preserve"> although there has been an increase in spend of c£740,000 compared to 2021/22.  Spend on S</w:t>
      </w:r>
      <w:r w:rsidR="001F37BE">
        <w:rPr>
          <w:rFonts w:eastAsia="Times New Roman" w:cs="Arial"/>
        </w:rPr>
        <w:t xml:space="preserve">pecial </w:t>
      </w:r>
      <w:r w:rsidRPr="00722388">
        <w:rPr>
          <w:rFonts w:eastAsia="Times New Roman" w:cs="Arial"/>
        </w:rPr>
        <w:t>G</w:t>
      </w:r>
      <w:r w:rsidR="001F37BE">
        <w:rPr>
          <w:rFonts w:eastAsia="Times New Roman" w:cs="Arial"/>
        </w:rPr>
        <w:t xml:space="preserve">uardianship </w:t>
      </w:r>
      <w:proofErr w:type="gramStart"/>
      <w:r w:rsidRPr="00722388">
        <w:rPr>
          <w:rFonts w:eastAsia="Times New Roman" w:cs="Arial"/>
        </w:rPr>
        <w:t>O</w:t>
      </w:r>
      <w:r w:rsidR="001F37BE">
        <w:rPr>
          <w:rFonts w:eastAsia="Times New Roman" w:cs="Arial"/>
        </w:rPr>
        <w:t>rders</w:t>
      </w:r>
      <w:r w:rsidRPr="00722388">
        <w:rPr>
          <w:rFonts w:eastAsia="Times New Roman" w:cs="Arial"/>
        </w:rPr>
        <w:t>'</w:t>
      </w:r>
      <w:proofErr w:type="gramEnd"/>
      <w:r w:rsidR="00BD0520">
        <w:rPr>
          <w:rFonts w:eastAsia="Times New Roman" w:cs="Arial"/>
        </w:rPr>
        <w:t xml:space="preserve"> </w:t>
      </w:r>
      <w:r w:rsidRPr="00722388">
        <w:rPr>
          <w:rFonts w:eastAsia="Times New Roman" w:cs="Arial"/>
        </w:rPr>
        <w:t>continues to increase by c</w:t>
      </w:r>
      <w:r>
        <w:rPr>
          <w:rFonts w:eastAsia="Times New Roman" w:cs="Arial"/>
        </w:rPr>
        <w:t>9</w:t>
      </w:r>
      <w:r w:rsidRPr="00722388">
        <w:rPr>
          <w:rFonts w:eastAsia="Times New Roman" w:cs="Arial"/>
        </w:rPr>
        <w:t>% per annum</w:t>
      </w:r>
      <w:r w:rsidR="00171686">
        <w:rPr>
          <w:rFonts w:eastAsia="Times New Roman" w:cs="Arial"/>
        </w:rPr>
        <w:t>,</w:t>
      </w:r>
      <w:r w:rsidRPr="00722388">
        <w:rPr>
          <w:rFonts w:eastAsia="Times New Roman" w:cs="Arial"/>
        </w:rPr>
        <w:t xml:space="preserve"> as it has done in previous years.  </w:t>
      </w:r>
    </w:p>
    <w:p w14:paraId="493BA52C" w14:textId="491F88B0" w:rsidR="00C92668" w:rsidRPr="00722388" w:rsidRDefault="00C92668" w:rsidP="00C92668">
      <w:pPr>
        <w:numPr>
          <w:ilvl w:val="0"/>
          <w:numId w:val="9"/>
        </w:numPr>
        <w:adjustRightInd/>
        <w:spacing w:after="0" w:line="252" w:lineRule="auto"/>
        <w:rPr>
          <w:rFonts w:eastAsia="Times New Roman" w:cs="Arial"/>
        </w:rPr>
      </w:pPr>
      <w:r w:rsidRPr="00722388">
        <w:rPr>
          <w:rFonts w:eastAsia="Times New Roman" w:cs="Arial"/>
        </w:rPr>
        <w:t>Forecast underspends of c£250,000</w:t>
      </w:r>
      <w:r>
        <w:rPr>
          <w:rFonts w:eastAsia="Times New Roman" w:cs="Arial"/>
        </w:rPr>
        <w:t xml:space="preserve"> on </w:t>
      </w:r>
      <w:r w:rsidR="004630D3">
        <w:rPr>
          <w:rFonts w:eastAsia="Times New Roman" w:cs="Arial"/>
        </w:rPr>
        <w:t xml:space="preserve">Staying Put </w:t>
      </w:r>
      <w:r>
        <w:rPr>
          <w:rFonts w:eastAsia="Times New Roman" w:cs="Arial"/>
        </w:rPr>
        <w:t xml:space="preserve">arrangements are broadly </w:t>
      </w:r>
      <w:r w:rsidRPr="00722388">
        <w:rPr>
          <w:rFonts w:eastAsia="Times New Roman" w:cs="Arial"/>
        </w:rPr>
        <w:t xml:space="preserve">in line with 2021/22. </w:t>
      </w:r>
    </w:p>
    <w:p w14:paraId="103C6A52" w14:textId="5D548BC0" w:rsidR="00C92668" w:rsidRPr="001656F7" w:rsidRDefault="00C92668" w:rsidP="00C92668">
      <w:pPr>
        <w:numPr>
          <w:ilvl w:val="0"/>
          <w:numId w:val="9"/>
        </w:numPr>
        <w:adjustRightInd/>
        <w:spacing w:after="0" w:line="252" w:lineRule="auto"/>
        <w:rPr>
          <w:rFonts w:eastAsia="Times New Roman" w:cs="Arial"/>
        </w:rPr>
      </w:pPr>
      <w:r w:rsidRPr="00722388">
        <w:rPr>
          <w:rFonts w:eastAsia="Times New Roman" w:cs="Arial"/>
        </w:rPr>
        <w:t>Adoption allowances are forecast to underspend by c£2</w:t>
      </w:r>
      <w:r>
        <w:rPr>
          <w:rFonts w:eastAsia="Times New Roman" w:cs="Arial"/>
        </w:rPr>
        <w:t>20</w:t>
      </w:r>
      <w:r w:rsidRPr="001656F7">
        <w:rPr>
          <w:rFonts w:eastAsia="Times New Roman" w:cs="Arial"/>
        </w:rPr>
        <w:t>,000</w:t>
      </w:r>
      <w:r w:rsidR="00FB7265">
        <w:rPr>
          <w:rFonts w:eastAsia="Times New Roman" w:cs="Arial"/>
        </w:rPr>
        <w:t>,</w:t>
      </w:r>
      <w:r w:rsidRPr="001656F7">
        <w:rPr>
          <w:rFonts w:eastAsia="Times New Roman" w:cs="Arial"/>
        </w:rPr>
        <w:t xml:space="preserve"> with spend also broadly in line with 2021/22. </w:t>
      </w:r>
    </w:p>
    <w:p w14:paraId="3278F2E1" w14:textId="77777777" w:rsidR="00C92668" w:rsidRDefault="00C92668" w:rsidP="00C92668">
      <w:pPr>
        <w:spacing w:after="0"/>
        <w:rPr>
          <w:rFonts w:cs="Arial"/>
        </w:rPr>
      </w:pPr>
    </w:p>
    <w:p w14:paraId="650A7E7F" w14:textId="77777777" w:rsidR="00C92668" w:rsidRDefault="00C92668" w:rsidP="00C92668">
      <w:pPr>
        <w:spacing w:after="0"/>
        <w:rPr>
          <w:rFonts w:cs="Arial"/>
          <w:b/>
          <w:bCs/>
        </w:rPr>
      </w:pPr>
      <w:r w:rsidRPr="00E12D23">
        <w:rPr>
          <w:rFonts w:cs="Arial"/>
          <w:b/>
        </w:rPr>
        <w:t xml:space="preserve">Education and </w:t>
      </w:r>
      <w:r w:rsidRPr="00EB0B8B">
        <w:rPr>
          <w:rFonts w:cs="Arial"/>
          <w:b/>
        </w:rPr>
        <w:t xml:space="preserve">Skills – </w:t>
      </w:r>
      <w:r w:rsidRPr="006B33FB">
        <w:rPr>
          <w:rFonts w:cs="Arial"/>
          <w:b/>
        </w:rPr>
        <w:t>Und</w:t>
      </w:r>
      <w:r w:rsidRPr="006B33FB">
        <w:rPr>
          <w:rFonts w:cs="Arial"/>
          <w:b/>
          <w:bCs/>
        </w:rPr>
        <w:t>erspend £</w:t>
      </w:r>
      <w:r>
        <w:rPr>
          <w:rFonts w:cs="Arial"/>
          <w:b/>
          <w:bCs/>
        </w:rPr>
        <w:t>1.406m</w:t>
      </w:r>
    </w:p>
    <w:p w14:paraId="5EA3C964" w14:textId="77777777" w:rsidR="00C92668" w:rsidRDefault="00C92668" w:rsidP="00C92668">
      <w:pPr>
        <w:spacing w:after="0"/>
        <w:contextualSpacing/>
        <w:rPr>
          <w:rFonts w:cs="Arial"/>
          <w:b/>
          <w:bCs/>
        </w:rPr>
      </w:pPr>
    </w:p>
    <w:p w14:paraId="4C71F9D0" w14:textId="77777777" w:rsidR="00C92668" w:rsidRPr="00D504C7" w:rsidRDefault="00C92668" w:rsidP="00C92668">
      <w:pPr>
        <w:tabs>
          <w:tab w:val="left" w:pos="851"/>
          <w:tab w:val="left" w:pos="1418"/>
        </w:tabs>
        <w:spacing w:after="0"/>
        <w:contextualSpacing/>
        <w:rPr>
          <w:rFonts w:cs="Arial"/>
          <w:b/>
        </w:rPr>
      </w:pPr>
      <w:r w:rsidRPr="00D504C7">
        <w:rPr>
          <w:rFonts w:cs="Arial"/>
          <w:b/>
        </w:rPr>
        <w:t xml:space="preserve">Inclusion - </w:t>
      </w:r>
      <w:r>
        <w:rPr>
          <w:rFonts w:cs="Arial"/>
          <w:b/>
        </w:rPr>
        <w:t>Und</w:t>
      </w:r>
      <w:r w:rsidRPr="00D504C7">
        <w:rPr>
          <w:rFonts w:cs="Arial"/>
          <w:b/>
        </w:rPr>
        <w:t>erspend £0.</w:t>
      </w:r>
      <w:r>
        <w:rPr>
          <w:rFonts w:cs="Arial"/>
          <w:b/>
        </w:rPr>
        <w:t>823</w:t>
      </w:r>
      <w:r w:rsidRPr="00D504C7">
        <w:rPr>
          <w:rFonts w:cs="Arial"/>
          <w:b/>
        </w:rPr>
        <w:t>m</w:t>
      </w:r>
    </w:p>
    <w:p w14:paraId="37EA4DEB" w14:textId="77777777" w:rsidR="00C92668" w:rsidRDefault="00C92668" w:rsidP="00C92668">
      <w:pPr>
        <w:spacing w:after="0"/>
        <w:contextualSpacing/>
        <w:rPr>
          <w:rFonts w:cs="Arial"/>
        </w:rPr>
      </w:pPr>
      <w:r w:rsidRPr="00765F1A">
        <w:rPr>
          <w:rFonts w:eastAsia="Times New Roman" w:cs="Arial"/>
        </w:rPr>
        <w:t>Forecast underspends of c£</w:t>
      </w:r>
      <w:r>
        <w:rPr>
          <w:rFonts w:eastAsia="Times New Roman" w:cs="Arial"/>
        </w:rPr>
        <w:t>390,000</w:t>
      </w:r>
      <w:r w:rsidRPr="00765F1A">
        <w:rPr>
          <w:rFonts w:eastAsia="Times New Roman" w:cs="Arial"/>
        </w:rPr>
        <w:t xml:space="preserve"> relate to staff (vacancies) </w:t>
      </w:r>
      <w:r>
        <w:rPr>
          <w:rFonts w:eastAsia="Times New Roman" w:cs="Arial"/>
        </w:rPr>
        <w:t>across the service.</w:t>
      </w:r>
      <w:r w:rsidRPr="00340975">
        <w:rPr>
          <w:rFonts w:cs="Arial"/>
        </w:rPr>
        <w:t xml:space="preserve"> </w:t>
      </w:r>
    </w:p>
    <w:p w14:paraId="7109207F" w14:textId="77777777" w:rsidR="00C92668" w:rsidRDefault="00C92668" w:rsidP="00C92668">
      <w:pPr>
        <w:spacing w:after="0"/>
        <w:contextualSpacing/>
        <w:rPr>
          <w:rFonts w:cs="Arial"/>
        </w:rPr>
      </w:pPr>
    </w:p>
    <w:p w14:paraId="724E9FCB" w14:textId="78508FE2" w:rsidR="00C92668" w:rsidRPr="00C92668" w:rsidRDefault="00C92668" w:rsidP="00C92668">
      <w:pPr>
        <w:spacing w:after="0"/>
        <w:contextualSpacing/>
        <w:rPr>
          <w:rFonts w:cs="Arial"/>
        </w:rPr>
      </w:pPr>
      <w:r>
        <w:rPr>
          <w:rFonts w:cs="Arial"/>
          <w:bCs/>
        </w:rPr>
        <w:t xml:space="preserve">The </w:t>
      </w:r>
      <w:r w:rsidRPr="00B300FB">
        <w:rPr>
          <w:rFonts w:cs="Arial"/>
          <w:bCs/>
        </w:rPr>
        <w:t xml:space="preserve">Specialist Teaching Service </w:t>
      </w:r>
      <w:r>
        <w:rPr>
          <w:rFonts w:cs="Arial"/>
          <w:bCs/>
        </w:rPr>
        <w:t>is</w:t>
      </w:r>
      <w:r w:rsidRPr="00B300FB">
        <w:rPr>
          <w:rFonts w:cs="Arial"/>
          <w:bCs/>
        </w:rPr>
        <w:t xml:space="preserve"> forecasting underspends on staffing of c£550,000</w:t>
      </w:r>
      <w:r w:rsidR="00E86BBC">
        <w:rPr>
          <w:rFonts w:cs="Arial"/>
          <w:bCs/>
        </w:rPr>
        <w:t xml:space="preserve"> due to vacancies across the service.</w:t>
      </w:r>
      <w:r w:rsidR="001B5010">
        <w:rPr>
          <w:rFonts w:cs="Arial"/>
          <w:bCs/>
        </w:rPr>
        <w:t xml:space="preserve"> </w:t>
      </w:r>
      <w:r w:rsidR="001B5010" w:rsidRPr="001B5010">
        <w:rPr>
          <w:rFonts w:cs="Arial"/>
          <w:bCs/>
        </w:rPr>
        <w:t>The</w:t>
      </w:r>
      <w:r w:rsidR="001B5010">
        <w:rPr>
          <w:rFonts w:cs="Arial"/>
          <w:bCs/>
        </w:rPr>
        <w:t>re have been difficulties in recruiting teaching staff to the services as the posts require</w:t>
      </w:r>
      <w:r w:rsidR="001B5010" w:rsidRPr="001B5010">
        <w:rPr>
          <w:rFonts w:cs="Arial"/>
          <w:bCs/>
        </w:rPr>
        <w:t xml:space="preserve"> specialist qualifications</w:t>
      </w:r>
      <w:r w:rsidR="001B5010">
        <w:rPr>
          <w:rFonts w:cs="Arial"/>
          <w:bCs/>
        </w:rPr>
        <w:t xml:space="preserve">, however </w:t>
      </w:r>
      <w:r w:rsidR="009C7463">
        <w:rPr>
          <w:rFonts w:cs="Arial"/>
          <w:bCs/>
        </w:rPr>
        <w:t xml:space="preserve">some </w:t>
      </w:r>
      <w:r w:rsidR="001B5010">
        <w:rPr>
          <w:rFonts w:cs="Arial"/>
          <w:bCs/>
        </w:rPr>
        <w:lastRenderedPageBreak/>
        <w:t xml:space="preserve">appointments </w:t>
      </w:r>
      <w:r w:rsidR="009C7463">
        <w:rPr>
          <w:rFonts w:cs="Arial"/>
          <w:bCs/>
        </w:rPr>
        <w:t>have recently been made. Staffing levels have</w:t>
      </w:r>
      <w:r w:rsidR="00E86BBC">
        <w:rPr>
          <w:rFonts w:cs="Arial"/>
          <w:bCs/>
        </w:rPr>
        <w:t xml:space="preserve"> a direct impact on income, with the forecast including an</w:t>
      </w:r>
      <w:r w:rsidRPr="00B300FB">
        <w:rPr>
          <w:rFonts w:cs="Arial"/>
          <w:bCs/>
        </w:rPr>
        <w:t xml:space="preserve"> under recovery of income of c£250,000.</w:t>
      </w:r>
    </w:p>
    <w:p w14:paraId="4D55346B" w14:textId="77777777" w:rsidR="00C92668" w:rsidRDefault="00C92668" w:rsidP="00C92668">
      <w:pPr>
        <w:spacing w:after="0"/>
        <w:contextualSpacing/>
        <w:rPr>
          <w:rFonts w:cs="Arial"/>
        </w:rPr>
      </w:pPr>
    </w:p>
    <w:p w14:paraId="58C8C882" w14:textId="724740E4" w:rsidR="00C92668" w:rsidRPr="00340975" w:rsidRDefault="00C92668" w:rsidP="00C92668">
      <w:pPr>
        <w:spacing w:after="0"/>
        <w:contextualSpacing/>
        <w:rPr>
          <w:rFonts w:cs="Arial"/>
          <w:b/>
        </w:rPr>
      </w:pPr>
      <w:r>
        <w:rPr>
          <w:rFonts w:cs="Arial"/>
        </w:rPr>
        <w:t xml:space="preserve">Aids and Adaptations &amp; </w:t>
      </w:r>
      <w:r w:rsidRPr="00340975">
        <w:rPr>
          <w:rFonts w:cs="Arial"/>
        </w:rPr>
        <w:t xml:space="preserve">Community Equipment </w:t>
      </w:r>
      <w:r>
        <w:rPr>
          <w:rFonts w:cs="Arial"/>
        </w:rPr>
        <w:t xml:space="preserve">is forecast to underspend </w:t>
      </w:r>
      <w:r w:rsidR="001973FD">
        <w:rPr>
          <w:rFonts w:cs="Arial"/>
        </w:rPr>
        <w:t xml:space="preserve">by </w:t>
      </w:r>
      <w:r w:rsidRPr="00340975">
        <w:rPr>
          <w:rFonts w:cs="Arial"/>
        </w:rPr>
        <w:t>c£1</w:t>
      </w:r>
      <w:r>
        <w:rPr>
          <w:rFonts w:cs="Arial"/>
        </w:rPr>
        <w:t>20</w:t>
      </w:r>
      <w:r w:rsidRPr="00340975">
        <w:rPr>
          <w:rFonts w:cs="Arial"/>
        </w:rPr>
        <w:t>,000</w:t>
      </w:r>
      <w:r>
        <w:rPr>
          <w:rFonts w:cs="Arial"/>
        </w:rPr>
        <w:t>.</w:t>
      </w:r>
      <w:r w:rsidRPr="00340975">
        <w:rPr>
          <w:rFonts w:cs="Arial"/>
        </w:rPr>
        <w:t xml:space="preserve"> </w:t>
      </w:r>
    </w:p>
    <w:p w14:paraId="0C80D206" w14:textId="77777777" w:rsidR="00C92668" w:rsidRPr="00B546CC" w:rsidRDefault="00C92668" w:rsidP="00C92668">
      <w:pPr>
        <w:spacing w:after="0"/>
        <w:contextualSpacing/>
        <w:rPr>
          <w:rFonts w:cs="Arial"/>
          <w:highlight w:val="yellow"/>
        </w:rPr>
      </w:pPr>
    </w:p>
    <w:p w14:paraId="4505F424" w14:textId="38FE37B8" w:rsidR="00C92668" w:rsidRPr="00765F1A" w:rsidRDefault="00C92668" w:rsidP="00C92668">
      <w:pPr>
        <w:spacing w:after="0"/>
        <w:contextualSpacing/>
        <w:rPr>
          <w:rFonts w:cs="Arial"/>
          <w:b/>
        </w:rPr>
      </w:pPr>
      <w:r w:rsidRPr="001B0F40">
        <w:rPr>
          <w:rFonts w:cs="Arial"/>
          <w:b/>
        </w:rPr>
        <w:t xml:space="preserve">Children Family and Wellbeing </w:t>
      </w:r>
      <w:r w:rsidRPr="004D1E63">
        <w:rPr>
          <w:rFonts w:cs="Arial"/>
          <w:b/>
        </w:rPr>
        <w:t>Service – Underspend £1.</w:t>
      </w:r>
      <w:r w:rsidR="00456F15">
        <w:rPr>
          <w:rFonts w:cs="Arial"/>
          <w:b/>
        </w:rPr>
        <w:t>661</w:t>
      </w:r>
      <w:r w:rsidR="00456F15" w:rsidRPr="004D1E63">
        <w:rPr>
          <w:rFonts w:cs="Arial"/>
          <w:b/>
        </w:rPr>
        <w:t>m</w:t>
      </w:r>
    </w:p>
    <w:p w14:paraId="476253BA" w14:textId="77777777" w:rsidR="00C92668" w:rsidRPr="00765F1A" w:rsidRDefault="00C92668" w:rsidP="00C92668">
      <w:pPr>
        <w:spacing w:after="0"/>
        <w:contextualSpacing/>
        <w:rPr>
          <w:rFonts w:eastAsia="Times New Roman" w:cs="Arial"/>
        </w:rPr>
      </w:pPr>
      <w:r w:rsidRPr="00765F1A">
        <w:rPr>
          <w:rFonts w:eastAsia="Times New Roman" w:cs="Arial"/>
        </w:rPr>
        <w:t>Forecast underspends of c£</w:t>
      </w:r>
      <w:r>
        <w:rPr>
          <w:rFonts w:eastAsia="Times New Roman" w:cs="Arial"/>
        </w:rPr>
        <w:t>1.380</w:t>
      </w:r>
      <w:r w:rsidRPr="00765F1A">
        <w:rPr>
          <w:rFonts w:eastAsia="Times New Roman" w:cs="Arial"/>
        </w:rPr>
        <w:t>m across the service relate to staff (vacancies) and c£</w:t>
      </w:r>
      <w:r>
        <w:rPr>
          <w:rFonts w:eastAsia="Times New Roman" w:cs="Arial"/>
        </w:rPr>
        <w:t>285,000</w:t>
      </w:r>
      <w:r w:rsidRPr="00765F1A">
        <w:rPr>
          <w:rFonts w:eastAsia="Times New Roman" w:cs="Arial"/>
        </w:rPr>
        <w:t xml:space="preserve"> to operational costs. </w:t>
      </w:r>
    </w:p>
    <w:p w14:paraId="2232DA7E" w14:textId="77777777" w:rsidR="00C92668" w:rsidRPr="00765F1A" w:rsidRDefault="00C92668" w:rsidP="00C92668">
      <w:pPr>
        <w:spacing w:after="0"/>
        <w:contextualSpacing/>
        <w:rPr>
          <w:rFonts w:eastAsia="Times New Roman" w:cs="Arial"/>
        </w:rPr>
      </w:pPr>
    </w:p>
    <w:p w14:paraId="13F4D809" w14:textId="3D0668BD" w:rsidR="00C92668" w:rsidRDefault="00C92668" w:rsidP="00C92668">
      <w:pPr>
        <w:spacing w:after="0"/>
        <w:contextualSpacing/>
        <w:rPr>
          <w:rFonts w:eastAsia="Times New Roman" w:cs="Arial"/>
        </w:rPr>
      </w:pPr>
      <w:r w:rsidRPr="00765F1A">
        <w:rPr>
          <w:rFonts w:eastAsia="Times New Roman" w:cs="Arial"/>
        </w:rPr>
        <w:t xml:space="preserve">The county council will receive additional Supporting Families funding in 2022/23 of c£1.500m which </w:t>
      </w:r>
      <w:r>
        <w:rPr>
          <w:rFonts w:eastAsia="Times New Roman" w:cs="Arial"/>
        </w:rPr>
        <w:t>is being</w:t>
      </w:r>
      <w:r w:rsidRPr="00765F1A">
        <w:rPr>
          <w:rFonts w:eastAsia="Times New Roman" w:cs="Arial"/>
        </w:rPr>
        <w:t xml:space="preserve"> used to recruit additional fixed term staff </w:t>
      </w:r>
      <w:r w:rsidR="00330E49">
        <w:rPr>
          <w:rFonts w:eastAsia="Times New Roman" w:cs="Arial"/>
        </w:rPr>
        <w:t>within the service</w:t>
      </w:r>
      <w:r w:rsidRPr="00765F1A">
        <w:rPr>
          <w:rFonts w:eastAsia="Times New Roman" w:cs="Arial"/>
        </w:rPr>
        <w:t xml:space="preserve"> and in the Inclusion Service</w:t>
      </w:r>
      <w:r w:rsidR="00E86BBC">
        <w:rPr>
          <w:rFonts w:eastAsia="Times New Roman" w:cs="Arial"/>
        </w:rPr>
        <w:t xml:space="preserve">. They will </w:t>
      </w:r>
      <w:r w:rsidRPr="00765F1A">
        <w:rPr>
          <w:rFonts w:eastAsia="Times New Roman" w:cs="Arial"/>
        </w:rPr>
        <w:t xml:space="preserve">provide targeted support and improve the outcomes for children and young people within communities following the pandemic, </w:t>
      </w:r>
      <w:proofErr w:type="gramStart"/>
      <w:r w:rsidRPr="00765F1A">
        <w:rPr>
          <w:rFonts w:eastAsia="Times New Roman" w:cs="Arial"/>
        </w:rPr>
        <w:t>in particular for</w:t>
      </w:r>
      <w:proofErr w:type="gramEnd"/>
      <w:r w:rsidRPr="00765F1A">
        <w:rPr>
          <w:rFonts w:eastAsia="Times New Roman" w:cs="Arial"/>
        </w:rPr>
        <w:t xml:space="preserve"> families experiencing domestic abuse and to meet emotional health/school readiness priorities.</w:t>
      </w:r>
      <w:r>
        <w:rPr>
          <w:rFonts w:eastAsia="Times New Roman" w:cs="Arial"/>
        </w:rPr>
        <w:t xml:space="preserve">  </w:t>
      </w:r>
    </w:p>
    <w:p w14:paraId="331096F4" w14:textId="77777777" w:rsidR="00C92668" w:rsidRDefault="00C92668" w:rsidP="00C92668">
      <w:pPr>
        <w:spacing w:after="0"/>
        <w:contextualSpacing/>
        <w:rPr>
          <w:rFonts w:eastAsia="Times New Roman" w:cs="Arial"/>
        </w:rPr>
      </w:pPr>
    </w:p>
    <w:p w14:paraId="1E7BE5A2" w14:textId="3C50486E" w:rsidR="00C92668" w:rsidRPr="007E19FE" w:rsidRDefault="00C92668" w:rsidP="00C92668">
      <w:pPr>
        <w:spacing w:after="0"/>
        <w:contextualSpacing/>
        <w:rPr>
          <w:rFonts w:eastAsia="Times New Roman" w:cs="Arial"/>
        </w:rPr>
      </w:pPr>
      <w:r w:rsidRPr="00765F1A">
        <w:rPr>
          <w:rFonts w:eastAsia="Times New Roman" w:cs="Arial"/>
        </w:rPr>
        <w:t xml:space="preserve">The service is working systematically to fill both the current vacancies and the additional fixed term temporary posts.  </w:t>
      </w:r>
      <w:r w:rsidRPr="00A200C7">
        <w:rPr>
          <w:rFonts w:eastAsia="Times New Roman" w:cs="Arial"/>
        </w:rPr>
        <w:t xml:space="preserve">Vacancies were c16% at the end of 2020/21, c18% at the end of 2021/22 </w:t>
      </w:r>
      <w:r w:rsidRPr="00A13029">
        <w:rPr>
          <w:rFonts w:eastAsia="Times New Roman" w:cs="Arial"/>
        </w:rPr>
        <w:t xml:space="preserve">and </w:t>
      </w:r>
      <w:r w:rsidRPr="0015195B">
        <w:rPr>
          <w:rFonts w:eastAsia="Times New Roman" w:cs="Arial"/>
        </w:rPr>
        <w:t xml:space="preserve">are c5% at </w:t>
      </w:r>
      <w:r w:rsidRPr="00A200C7">
        <w:rPr>
          <w:rFonts w:eastAsia="Times New Roman" w:cs="Arial"/>
        </w:rPr>
        <w:t xml:space="preserve">the end of </w:t>
      </w:r>
      <w:r>
        <w:rPr>
          <w:rFonts w:eastAsia="Times New Roman" w:cs="Arial"/>
        </w:rPr>
        <w:t xml:space="preserve">October </w:t>
      </w:r>
      <w:r w:rsidRPr="00A200C7">
        <w:rPr>
          <w:rFonts w:eastAsia="Times New Roman" w:cs="Arial"/>
        </w:rPr>
        <w:t>2022</w:t>
      </w:r>
      <w:r w:rsidRPr="00765F1A">
        <w:rPr>
          <w:rFonts w:eastAsia="Times New Roman" w:cs="Arial"/>
        </w:rPr>
        <w:t>, with recruitment activity continuing</w:t>
      </w:r>
      <w:r>
        <w:rPr>
          <w:rFonts w:eastAsia="Times New Roman" w:cs="Arial"/>
        </w:rPr>
        <w:t>.  The s</w:t>
      </w:r>
      <w:r w:rsidRPr="00765F1A">
        <w:rPr>
          <w:rFonts w:eastAsia="Times New Roman" w:cs="Arial"/>
        </w:rPr>
        <w:t>ervice expects vacancies to reduce over the coming months</w:t>
      </w:r>
      <w:r>
        <w:rPr>
          <w:rFonts w:eastAsia="Times New Roman" w:cs="Arial"/>
        </w:rPr>
        <w:t xml:space="preserve"> following the success of recent recruitment activity</w:t>
      </w:r>
      <w:r w:rsidR="00E86BBC">
        <w:rPr>
          <w:rFonts w:eastAsia="Times New Roman" w:cs="Arial"/>
        </w:rPr>
        <w:t xml:space="preserve"> </w:t>
      </w:r>
      <w:r w:rsidR="00E86BBC" w:rsidRPr="000F78F1">
        <w:rPr>
          <w:rFonts w:eastAsia="Times New Roman" w:cs="Arial"/>
        </w:rPr>
        <w:t>(subject to the criteria introduced to recruit to vacancies across the county council).</w:t>
      </w:r>
    </w:p>
    <w:p w14:paraId="2045F64D" w14:textId="77777777" w:rsidR="00C92668" w:rsidRDefault="00C92668" w:rsidP="00C92668">
      <w:pPr>
        <w:spacing w:after="0"/>
        <w:contextualSpacing/>
        <w:rPr>
          <w:rFonts w:cs="Arial"/>
          <w:b/>
        </w:rPr>
      </w:pPr>
    </w:p>
    <w:p w14:paraId="3706A018" w14:textId="77777777" w:rsidR="00C92668" w:rsidRPr="00162651" w:rsidRDefault="00C92668" w:rsidP="00C92668">
      <w:pPr>
        <w:spacing w:after="0"/>
        <w:contextualSpacing/>
        <w:rPr>
          <w:rFonts w:cs="Arial"/>
          <w:b/>
        </w:rPr>
      </w:pPr>
      <w:r w:rsidRPr="00162651">
        <w:rPr>
          <w:rFonts w:cs="Arial"/>
          <w:b/>
        </w:rPr>
        <w:t>Cultural Services</w:t>
      </w:r>
      <w:r w:rsidRPr="00162651">
        <w:rPr>
          <w:rFonts w:eastAsia="Times New Roman" w:cs="Arial"/>
          <w:b/>
          <w:bCs/>
          <w:lang w:eastAsia="en-GB"/>
        </w:rPr>
        <w:t xml:space="preserve"> </w:t>
      </w:r>
      <w:r w:rsidRPr="00162651">
        <w:rPr>
          <w:rFonts w:cs="Arial"/>
          <w:b/>
        </w:rPr>
        <w:t>– Overspend £0.229m</w:t>
      </w:r>
    </w:p>
    <w:p w14:paraId="59A32663" w14:textId="3B8C11A2" w:rsidR="00C92668" w:rsidRPr="00162651" w:rsidRDefault="00C92668" w:rsidP="00C92668">
      <w:pPr>
        <w:spacing w:after="0"/>
        <w:contextualSpacing/>
        <w:rPr>
          <w:rFonts w:cs="Arial"/>
        </w:rPr>
      </w:pPr>
      <w:r w:rsidRPr="00162651">
        <w:rPr>
          <w:rFonts w:cs="Arial"/>
        </w:rPr>
        <w:t>Forecast overspends of c£60,000 relate to staffing and are mainly due to the</w:t>
      </w:r>
      <w:r>
        <w:rPr>
          <w:rFonts w:cs="Arial"/>
        </w:rPr>
        <w:t xml:space="preserve"> higher than budg</w:t>
      </w:r>
      <w:r w:rsidR="00A93DA9">
        <w:rPr>
          <w:rFonts w:cs="Arial"/>
        </w:rPr>
        <w:t>e</w:t>
      </w:r>
      <w:r>
        <w:rPr>
          <w:rFonts w:cs="Arial"/>
        </w:rPr>
        <w:t>ted</w:t>
      </w:r>
      <w:r w:rsidRPr="00162651">
        <w:rPr>
          <w:rFonts w:cs="Arial"/>
        </w:rPr>
        <w:t xml:space="preserve"> pay </w:t>
      </w:r>
      <w:r>
        <w:rPr>
          <w:rFonts w:cs="Arial"/>
        </w:rPr>
        <w:t xml:space="preserve">award and </w:t>
      </w:r>
      <w:r w:rsidRPr="00162651">
        <w:rPr>
          <w:rFonts w:cs="Arial"/>
        </w:rPr>
        <w:t>c£</w:t>
      </w:r>
      <w:r>
        <w:rPr>
          <w:rFonts w:cs="Arial"/>
        </w:rPr>
        <w:t>250</w:t>
      </w:r>
      <w:r w:rsidRPr="00162651">
        <w:rPr>
          <w:rFonts w:cs="Arial"/>
        </w:rPr>
        <w:t>,000 to under recovery of income across the service</w:t>
      </w:r>
      <w:r>
        <w:rPr>
          <w:rFonts w:cs="Arial"/>
        </w:rPr>
        <w:t>,</w:t>
      </w:r>
      <w:r w:rsidRPr="00162651">
        <w:rPr>
          <w:rFonts w:cs="Arial"/>
        </w:rPr>
        <w:t xml:space="preserve"> offset by underspends on non</w:t>
      </w:r>
      <w:r>
        <w:rPr>
          <w:rFonts w:cs="Arial"/>
        </w:rPr>
        <w:t>-</w:t>
      </w:r>
      <w:r w:rsidRPr="00162651">
        <w:rPr>
          <w:rFonts w:cs="Arial"/>
        </w:rPr>
        <w:t>staff costs of c£8</w:t>
      </w:r>
      <w:r>
        <w:rPr>
          <w:rFonts w:cs="Arial"/>
        </w:rPr>
        <w:t>5</w:t>
      </w:r>
      <w:r w:rsidRPr="00162651">
        <w:rPr>
          <w:rFonts w:cs="Arial"/>
        </w:rPr>
        <w:t>,000</w:t>
      </w:r>
      <w:r>
        <w:rPr>
          <w:rFonts w:cs="Arial"/>
        </w:rPr>
        <w:t>.</w:t>
      </w:r>
    </w:p>
    <w:p w14:paraId="4018A576" w14:textId="479E6321" w:rsidR="00C92668" w:rsidRDefault="00C92668" w:rsidP="00C92668">
      <w:pPr>
        <w:spacing w:after="0"/>
        <w:contextualSpacing/>
        <w:rPr>
          <w:rFonts w:cs="Arial"/>
        </w:rPr>
      </w:pPr>
    </w:p>
    <w:p w14:paraId="224DC9B9" w14:textId="20867039" w:rsidR="009C7463" w:rsidRPr="0097462F" w:rsidRDefault="009C7463" w:rsidP="00C92668">
      <w:pPr>
        <w:spacing w:after="0"/>
        <w:contextualSpacing/>
        <w:rPr>
          <w:rFonts w:cs="Arial"/>
        </w:rPr>
      </w:pPr>
      <w:r w:rsidRPr="009C7463">
        <w:rPr>
          <w:rFonts w:cs="Arial"/>
        </w:rPr>
        <w:t xml:space="preserve">The grade mix of staff across Cultural Services has resulted in </w:t>
      </w:r>
      <w:r w:rsidR="00742D27">
        <w:rPr>
          <w:rFonts w:cs="Arial"/>
        </w:rPr>
        <w:t xml:space="preserve">a </w:t>
      </w:r>
      <w:r w:rsidRPr="009C7463">
        <w:rPr>
          <w:rFonts w:cs="Arial"/>
        </w:rPr>
        <w:t xml:space="preserve">higher percentage pay award for more staff in this service area, and therefore a greater pressure on the staffing budget compared to some other service areas. </w:t>
      </w:r>
    </w:p>
    <w:p w14:paraId="0C9086AC" w14:textId="77777777" w:rsidR="00C92668" w:rsidRDefault="00C92668" w:rsidP="00C92668">
      <w:pPr>
        <w:spacing w:after="0"/>
        <w:contextualSpacing/>
        <w:rPr>
          <w:rFonts w:eastAsia="Arial" w:cs="Arial"/>
          <w:highlight w:val="yellow"/>
        </w:rPr>
      </w:pPr>
    </w:p>
    <w:p w14:paraId="1F8B300E" w14:textId="77777777" w:rsidR="00C92668" w:rsidRPr="00B26588" w:rsidRDefault="00C92668" w:rsidP="00C92668">
      <w:pPr>
        <w:spacing w:after="0"/>
        <w:contextualSpacing/>
        <w:rPr>
          <w:rFonts w:cs="Arial"/>
          <w:b/>
        </w:rPr>
      </w:pPr>
      <w:r w:rsidRPr="00B26588">
        <w:rPr>
          <w:rFonts w:cs="Arial"/>
          <w:b/>
        </w:rPr>
        <w:t>Education Improvement - Overspend £0.8</w:t>
      </w:r>
      <w:r>
        <w:rPr>
          <w:rFonts w:cs="Arial"/>
          <w:b/>
        </w:rPr>
        <w:t>49</w:t>
      </w:r>
      <w:r w:rsidRPr="00B26588">
        <w:rPr>
          <w:rFonts w:cs="Arial"/>
          <w:b/>
        </w:rPr>
        <w:t>m</w:t>
      </w:r>
    </w:p>
    <w:p w14:paraId="7AD63736" w14:textId="77777777" w:rsidR="00C92668" w:rsidRPr="00B26588" w:rsidRDefault="00C92668" w:rsidP="00C92668">
      <w:pPr>
        <w:spacing w:after="0"/>
        <w:contextualSpacing/>
        <w:rPr>
          <w:rFonts w:eastAsia="Times New Roman" w:cs="Arial"/>
          <w:lang w:eastAsia="en-GB"/>
        </w:rPr>
      </w:pPr>
      <w:r w:rsidRPr="00B26588">
        <w:rPr>
          <w:rFonts w:eastAsia="Times New Roman" w:cs="Arial"/>
          <w:lang w:eastAsia="en-GB"/>
        </w:rPr>
        <w:t>Forecast overspends of c£</w:t>
      </w:r>
      <w:r>
        <w:rPr>
          <w:rFonts w:eastAsia="Times New Roman" w:cs="Arial"/>
          <w:lang w:eastAsia="en-GB"/>
        </w:rPr>
        <w:t>1.730</w:t>
      </w:r>
      <w:r w:rsidRPr="00B26588">
        <w:rPr>
          <w:rFonts w:eastAsia="Times New Roman" w:cs="Arial"/>
          <w:lang w:eastAsia="en-GB"/>
        </w:rPr>
        <w:t xml:space="preserve">m relate to under recovery of income across the service.  This is due to some schools opting out of the advisory service offer and ongoing pressures on some income generating services including Governor Services and the Professional Development Service, with pressures on school budgets affecting buy-back of services.  </w:t>
      </w:r>
    </w:p>
    <w:p w14:paraId="0711094F" w14:textId="77777777" w:rsidR="00C92668" w:rsidRPr="00B26588" w:rsidRDefault="00C92668" w:rsidP="00C92668">
      <w:pPr>
        <w:spacing w:after="0"/>
        <w:contextualSpacing/>
        <w:rPr>
          <w:rFonts w:cs="Arial"/>
          <w:b/>
        </w:rPr>
      </w:pPr>
    </w:p>
    <w:p w14:paraId="0870DFF4" w14:textId="4AE2C1C0" w:rsidR="00C92668" w:rsidRDefault="00C92668" w:rsidP="00C92668">
      <w:pPr>
        <w:spacing w:after="0"/>
        <w:contextualSpacing/>
        <w:rPr>
          <w:rFonts w:cs="Arial"/>
        </w:rPr>
      </w:pPr>
      <w:r w:rsidRPr="00101157">
        <w:rPr>
          <w:rFonts w:cs="Arial"/>
        </w:rPr>
        <w:t>The above overspends are partly offset by forecast underspends on staff costs of c£685,000 and on non-staff costs of c£200,000.</w:t>
      </w:r>
      <w:r w:rsidR="00E86BBC">
        <w:rPr>
          <w:rFonts w:cs="Arial"/>
        </w:rPr>
        <w:t xml:space="preserve"> </w:t>
      </w:r>
      <w:r w:rsidRPr="00B26588">
        <w:rPr>
          <w:rFonts w:cs="Arial"/>
        </w:rPr>
        <w:t xml:space="preserve">A review of the service is currently being undertaken </w:t>
      </w:r>
      <w:proofErr w:type="gramStart"/>
      <w:r w:rsidRPr="00B26588">
        <w:rPr>
          <w:rFonts w:cs="Arial"/>
        </w:rPr>
        <w:t>in light of</w:t>
      </w:r>
      <w:proofErr w:type="gramEnd"/>
      <w:r w:rsidRPr="00B26588">
        <w:rPr>
          <w:rFonts w:cs="Arial"/>
        </w:rPr>
        <w:t xml:space="preserve"> the reduction of the number of schools currently buying into the service and competition from other organisations.  </w:t>
      </w:r>
    </w:p>
    <w:p w14:paraId="782FAFC6" w14:textId="587734A4" w:rsidR="009C7463" w:rsidRDefault="009C7463" w:rsidP="00C92668">
      <w:pPr>
        <w:spacing w:after="0"/>
        <w:contextualSpacing/>
        <w:rPr>
          <w:rFonts w:cs="Arial"/>
        </w:rPr>
      </w:pPr>
    </w:p>
    <w:p w14:paraId="702B5F34" w14:textId="0F1E6FC9" w:rsidR="009C7463" w:rsidRPr="00B26588" w:rsidRDefault="009C7463" w:rsidP="00C92668">
      <w:pPr>
        <w:spacing w:after="0"/>
        <w:contextualSpacing/>
        <w:rPr>
          <w:rFonts w:cs="Arial"/>
        </w:rPr>
      </w:pPr>
      <w:r w:rsidRPr="009C7463">
        <w:rPr>
          <w:rFonts w:cs="Arial"/>
        </w:rPr>
        <w:t xml:space="preserve">The service is looking at what savings can be made through a restructure.  This will align the service to the current market and school needs rather than previous needs.  The service is also looking at expanding into other markets such as traded Attendance </w:t>
      </w:r>
      <w:r w:rsidR="008F5F63">
        <w:rPr>
          <w:rFonts w:cs="Arial"/>
        </w:rPr>
        <w:t>S</w:t>
      </w:r>
      <w:r w:rsidR="008F5F63" w:rsidRPr="009C7463">
        <w:rPr>
          <w:rFonts w:cs="Arial"/>
        </w:rPr>
        <w:t xml:space="preserve">upport </w:t>
      </w:r>
      <w:r w:rsidRPr="009C7463">
        <w:rPr>
          <w:rFonts w:cs="Arial"/>
        </w:rPr>
        <w:t xml:space="preserve">and </w:t>
      </w:r>
      <w:r w:rsidR="00625759">
        <w:rPr>
          <w:rFonts w:cs="Arial"/>
        </w:rPr>
        <w:t>marketing</w:t>
      </w:r>
      <w:r w:rsidRPr="009C7463">
        <w:rPr>
          <w:rFonts w:cs="Arial"/>
        </w:rPr>
        <w:t xml:space="preserve"> advisor support to schools beyond Lancashire in the next financial year.</w:t>
      </w:r>
    </w:p>
    <w:p w14:paraId="39DD9507" w14:textId="77777777" w:rsidR="00C92668" w:rsidRDefault="00C92668" w:rsidP="00C92668">
      <w:pPr>
        <w:spacing w:after="0"/>
        <w:contextualSpacing/>
        <w:rPr>
          <w:rFonts w:cs="Arial"/>
        </w:rPr>
      </w:pPr>
    </w:p>
    <w:p w14:paraId="04AB0D9B" w14:textId="0E10E635" w:rsidR="00C92668" w:rsidRPr="009A353E" w:rsidRDefault="00C92668" w:rsidP="00C92668">
      <w:pPr>
        <w:spacing w:after="0"/>
        <w:contextualSpacing/>
        <w:rPr>
          <w:rFonts w:cs="Arial"/>
          <w:b/>
        </w:rPr>
      </w:pPr>
      <w:r w:rsidRPr="009A353E">
        <w:rPr>
          <w:rFonts w:cs="Arial"/>
          <w:b/>
        </w:rPr>
        <w:t>Education and Children's Services – Overspend £0.</w:t>
      </w:r>
      <w:r w:rsidR="005231AF" w:rsidRPr="009A353E">
        <w:rPr>
          <w:rFonts w:cs="Arial"/>
          <w:b/>
        </w:rPr>
        <w:t>4</w:t>
      </w:r>
      <w:r w:rsidR="005231AF">
        <w:rPr>
          <w:rFonts w:cs="Arial"/>
          <w:b/>
        </w:rPr>
        <w:t>04</w:t>
      </w:r>
      <w:r w:rsidR="005231AF" w:rsidRPr="009A353E">
        <w:rPr>
          <w:rFonts w:cs="Arial"/>
          <w:b/>
        </w:rPr>
        <w:t>m</w:t>
      </w:r>
    </w:p>
    <w:p w14:paraId="1762ADE5" w14:textId="77777777" w:rsidR="00C92668" w:rsidRDefault="00C92668" w:rsidP="00C92668">
      <w:pPr>
        <w:spacing w:after="0"/>
        <w:contextualSpacing/>
        <w:rPr>
          <w:rFonts w:cs="Arial"/>
          <w:b/>
        </w:rPr>
      </w:pPr>
    </w:p>
    <w:p w14:paraId="3FB5F3B2" w14:textId="77777777" w:rsidR="00C92668" w:rsidRPr="00765F1A" w:rsidRDefault="00C92668" w:rsidP="00C92668">
      <w:pPr>
        <w:spacing w:after="0"/>
        <w:contextualSpacing/>
        <w:rPr>
          <w:rFonts w:cs="Arial"/>
          <w:b/>
        </w:rPr>
      </w:pPr>
      <w:r w:rsidRPr="004460EA">
        <w:rPr>
          <w:rFonts w:cs="Arial"/>
          <w:b/>
        </w:rPr>
        <w:t>Education and Children's Services Central Costs – Overspend £0.422m</w:t>
      </w:r>
    </w:p>
    <w:p w14:paraId="4252D4C5" w14:textId="77777777" w:rsidR="00C92668" w:rsidRDefault="00C92668" w:rsidP="00C92668">
      <w:pPr>
        <w:spacing w:after="0"/>
        <w:contextualSpacing/>
        <w:rPr>
          <w:rFonts w:cs="Arial"/>
        </w:rPr>
      </w:pPr>
    </w:p>
    <w:p w14:paraId="7EB972FD" w14:textId="346B0211" w:rsidR="00C92668" w:rsidRDefault="00C92668" w:rsidP="00C92668">
      <w:pPr>
        <w:spacing w:after="0"/>
        <w:contextualSpacing/>
        <w:rPr>
          <w:rFonts w:cs="Arial"/>
        </w:rPr>
      </w:pPr>
      <w:r w:rsidRPr="00765F1A">
        <w:rPr>
          <w:rFonts w:cs="Arial"/>
        </w:rPr>
        <w:t xml:space="preserve">Forecast overspends relate to </w:t>
      </w:r>
      <w:r>
        <w:rPr>
          <w:rFonts w:cs="Arial"/>
        </w:rPr>
        <w:t xml:space="preserve">a </w:t>
      </w:r>
      <w:r w:rsidRPr="00765F1A">
        <w:rPr>
          <w:rFonts w:cs="Arial"/>
        </w:rPr>
        <w:t xml:space="preserve">loss of </w:t>
      </w:r>
      <w:r>
        <w:rPr>
          <w:rFonts w:cs="Arial"/>
        </w:rPr>
        <w:t xml:space="preserve">c£920,000 (c50%) of the </w:t>
      </w:r>
      <w:r w:rsidRPr="00765F1A">
        <w:rPr>
          <w:rFonts w:cs="Arial"/>
        </w:rPr>
        <w:t xml:space="preserve">School Monitoring &amp; Brokering grant </w:t>
      </w:r>
      <w:r>
        <w:rPr>
          <w:rFonts w:cs="Arial"/>
        </w:rPr>
        <w:t>received from the Department for Education</w:t>
      </w:r>
      <w:r w:rsidR="00982E54">
        <w:rPr>
          <w:rFonts w:cs="Arial"/>
        </w:rPr>
        <w:t xml:space="preserve"> </w:t>
      </w:r>
      <w:r w:rsidRPr="00765F1A">
        <w:rPr>
          <w:rFonts w:cs="Arial"/>
        </w:rPr>
        <w:t xml:space="preserve">offset </w:t>
      </w:r>
      <w:r>
        <w:rPr>
          <w:rFonts w:cs="Arial"/>
        </w:rPr>
        <w:t xml:space="preserve">by </w:t>
      </w:r>
      <w:r w:rsidRPr="00765F1A">
        <w:rPr>
          <w:rFonts w:cs="Arial"/>
        </w:rPr>
        <w:t xml:space="preserve">forecast underspends on Premature Retirement Costs </w:t>
      </w:r>
      <w:r>
        <w:rPr>
          <w:rFonts w:cs="Arial"/>
        </w:rPr>
        <w:t xml:space="preserve">of </w:t>
      </w:r>
      <w:r w:rsidRPr="00765F1A">
        <w:rPr>
          <w:rFonts w:cs="Arial"/>
        </w:rPr>
        <w:t>c£</w:t>
      </w:r>
      <w:r>
        <w:rPr>
          <w:rFonts w:cs="Arial"/>
        </w:rPr>
        <w:t>500,000</w:t>
      </w:r>
      <w:r w:rsidRPr="00765F1A">
        <w:rPr>
          <w:rFonts w:cs="Arial"/>
        </w:rPr>
        <w:t xml:space="preserve"> </w:t>
      </w:r>
      <w:r>
        <w:rPr>
          <w:rFonts w:cs="Arial"/>
        </w:rPr>
        <w:t xml:space="preserve">which </w:t>
      </w:r>
      <w:r w:rsidRPr="00765F1A">
        <w:rPr>
          <w:rFonts w:cs="Arial"/>
        </w:rPr>
        <w:t>assume</w:t>
      </w:r>
      <w:r>
        <w:rPr>
          <w:rFonts w:cs="Arial"/>
        </w:rPr>
        <w:t>s</w:t>
      </w:r>
      <w:r w:rsidRPr="00765F1A">
        <w:rPr>
          <w:rFonts w:cs="Arial"/>
        </w:rPr>
        <w:t xml:space="preserve"> a similar level of spend to that in 2021/22.  </w:t>
      </w:r>
    </w:p>
    <w:p w14:paraId="166CDCCF" w14:textId="632BD20E" w:rsidR="009C7463" w:rsidRDefault="009C7463" w:rsidP="00C92668">
      <w:pPr>
        <w:spacing w:after="0"/>
        <w:contextualSpacing/>
        <w:rPr>
          <w:rFonts w:cs="Arial"/>
        </w:rPr>
      </w:pPr>
    </w:p>
    <w:p w14:paraId="232656B4" w14:textId="57DED928" w:rsidR="009C7463" w:rsidRDefault="009C7463" w:rsidP="00C92668">
      <w:pPr>
        <w:spacing w:after="0"/>
        <w:contextualSpacing/>
        <w:rPr>
          <w:rFonts w:cs="Arial"/>
        </w:rPr>
      </w:pPr>
      <w:r w:rsidRPr="009C7463">
        <w:rPr>
          <w:rFonts w:cs="Arial"/>
        </w:rPr>
        <w:t>Further work is taking place to review the central costs.</w:t>
      </w:r>
    </w:p>
    <w:bookmarkEnd w:id="13"/>
    <w:p w14:paraId="2B7D438E" w14:textId="77777777" w:rsidR="00C92668" w:rsidRDefault="00C92668" w:rsidP="00C92668">
      <w:pPr>
        <w:spacing w:after="0"/>
        <w:contextualSpacing/>
        <w:rPr>
          <w:rFonts w:eastAsia="Arial" w:cs="Arial"/>
          <w:b/>
          <w:bCs/>
        </w:rPr>
      </w:pPr>
    </w:p>
    <w:p w14:paraId="67E383CE" w14:textId="77777777" w:rsidR="000F78F1" w:rsidRPr="000F78F1" w:rsidRDefault="000F78F1" w:rsidP="000F78F1">
      <w:pPr>
        <w:spacing w:after="0"/>
        <w:contextualSpacing/>
        <w:rPr>
          <w:rFonts w:eastAsia="Arial" w:cs="Arial"/>
          <w:b/>
          <w:bCs/>
        </w:rPr>
      </w:pPr>
    </w:p>
    <w:p w14:paraId="1E4473DE" w14:textId="77777777" w:rsidR="000F78F1" w:rsidRPr="000F78F1" w:rsidRDefault="000F78F1" w:rsidP="000F78F1">
      <w:pPr>
        <w:spacing w:after="0"/>
        <w:contextualSpacing/>
        <w:rPr>
          <w:rFonts w:cs="Arial"/>
          <w:color w:val="FF0000"/>
        </w:rPr>
      </w:pPr>
    </w:p>
    <w:p w14:paraId="431DD30E" w14:textId="77777777" w:rsidR="000F78F1" w:rsidRPr="000F78F1" w:rsidRDefault="000F78F1" w:rsidP="000F78F1">
      <w:pPr>
        <w:spacing w:after="0"/>
        <w:contextualSpacing/>
        <w:rPr>
          <w:rFonts w:eastAsia="Arial" w:cs="Arial"/>
          <w:b/>
          <w:bCs/>
        </w:rPr>
      </w:pPr>
    </w:p>
    <w:p w14:paraId="6A369DE5"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4C5443EA"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57BE4D29"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3AA2FFFA"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1A42EABF"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14345B76"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37A56894"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5FA9BDC5"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0DE21DC3"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369C8A99"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2E7DD15F"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2BD5EF6C"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494EC7C5"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6E52999E"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71DC466B"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2A86792C"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2F044E58" w14:textId="72244B2E" w:rsidR="000F78F1" w:rsidRDefault="000F78F1" w:rsidP="000F78F1">
      <w:pPr>
        <w:autoSpaceDE/>
        <w:autoSpaceDN/>
        <w:adjustRightInd/>
        <w:spacing w:after="0"/>
        <w:textAlignment w:val="baseline"/>
        <w:rPr>
          <w:rFonts w:eastAsia="Times New Roman" w:cs="Arial"/>
          <w:color w:val="auto"/>
          <w:highlight w:val="yellow"/>
          <w:lang w:eastAsia="en-GB"/>
        </w:rPr>
      </w:pPr>
    </w:p>
    <w:p w14:paraId="75651A2B" w14:textId="534CEA60" w:rsidR="000F78F1" w:rsidRDefault="000F78F1" w:rsidP="000F78F1">
      <w:pPr>
        <w:autoSpaceDE/>
        <w:autoSpaceDN/>
        <w:adjustRightInd/>
        <w:spacing w:after="0"/>
        <w:textAlignment w:val="baseline"/>
        <w:rPr>
          <w:rFonts w:eastAsia="Times New Roman" w:cs="Arial"/>
          <w:color w:val="auto"/>
          <w:highlight w:val="yellow"/>
          <w:lang w:eastAsia="en-GB"/>
        </w:rPr>
      </w:pPr>
    </w:p>
    <w:p w14:paraId="48C8465B" w14:textId="463FF6F6" w:rsidR="009474A3" w:rsidRDefault="009474A3" w:rsidP="000F78F1">
      <w:pPr>
        <w:autoSpaceDE/>
        <w:autoSpaceDN/>
        <w:adjustRightInd/>
        <w:spacing w:after="0"/>
        <w:textAlignment w:val="baseline"/>
        <w:rPr>
          <w:rFonts w:eastAsia="Times New Roman" w:cs="Arial"/>
          <w:color w:val="auto"/>
          <w:highlight w:val="yellow"/>
          <w:lang w:eastAsia="en-GB"/>
        </w:rPr>
      </w:pPr>
    </w:p>
    <w:p w14:paraId="1EF21668" w14:textId="485261DB" w:rsidR="009474A3" w:rsidRDefault="009474A3" w:rsidP="000F78F1">
      <w:pPr>
        <w:autoSpaceDE/>
        <w:autoSpaceDN/>
        <w:adjustRightInd/>
        <w:spacing w:after="0"/>
        <w:textAlignment w:val="baseline"/>
        <w:rPr>
          <w:rFonts w:eastAsia="Times New Roman" w:cs="Arial"/>
          <w:color w:val="auto"/>
          <w:highlight w:val="yellow"/>
          <w:lang w:eastAsia="en-GB"/>
        </w:rPr>
      </w:pPr>
    </w:p>
    <w:p w14:paraId="1B80F2BE" w14:textId="3CED10E1" w:rsidR="009474A3" w:rsidRDefault="009474A3" w:rsidP="000F78F1">
      <w:pPr>
        <w:autoSpaceDE/>
        <w:autoSpaceDN/>
        <w:adjustRightInd/>
        <w:spacing w:after="0"/>
        <w:textAlignment w:val="baseline"/>
        <w:rPr>
          <w:rFonts w:eastAsia="Times New Roman" w:cs="Arial"/>
          <w:color w:val="auto"/>
          <w:highlight w:val="yellow"/>
          <w:lang w:eastAsia="en-GB"/>
        </w:rPr>
      </w:pPr>
    </w:p>
    <w:p w14:paraId="6DAD67DE" w14:textId="3076B193" w:rsidR="009474A3" w:rsidRDefault="009474A3" w:rsidP="000F78F1">
      <w:pPr>
        <w:autoSpaceDE/>
        <w:autoSpaceDN/>
        <w:adjustRightInd/>
        <w:spacing w:after="0"/>
        <w:textAlignment w:val="baseline"/>
        <w:rPr>
          <w:rFonts w:eastAsia="Times New Roman" w:cs="Arial"/>
          <w:color w:val="auto"/>
          <w:highlight w:val="yellow"/>
          <w:lang w:eastAsia="en-GB"/>
        </w:rPr>
      </w:pPr>
    </w:p>
    <w:p w14:paraId="54872D0B" w14:textId="60D7D443" w:rsidR="009474A3" w:rsidRDefault="009474A3" w:rsidP="000F78F1">
      <w:pPr>
        <w:autoSpaceDE/>
        <w:autoSpaceDN/>
        <w:adjustRightInd/>
        <w:spacing w:after="0"/>
        <w:textAlignment w:val="baseline"/>
        <w:rPr>
          <w:rFonts w:eastAsia="Times New Roman" w:cs="Arial"/>
          <w:color w:val="auto"/>
          <w:highlight w:val="yellow"/>
          <w:lang w:eastAsia="en-GB"/>
        </w:rPr>
      </w:pPr>
    </w:p>
    <w:p w14:paraId="52F7034D" w14:textId="77777777" w:rsidR="009474A3" w:rsidRPr="000F78F1" w:rsidRDefault="009474A3" w:rsidP="000F78F1">
      <w:pPr>
        <w:autoSpaceDE/>
        <w:autoSpaceDN/>
        <w:adjustRightInd/>
        <w:spacing w:after="0"/>
        <w:textAlignment w:val="baseline"/>
        <w:rPr>
          <w:rFonts w:eastAsia="Times New Roman" w:cs="Arial"/>
          <w:color w:val="auto"/>
          <w:highlight w:val="yellow"/>
          <w:lang w:eastAsia="en-GB"/>
        </w:rPr>
      </w:pPr>
    </w:p>
    <w:p w14:paraId="533E6055" w14:textId="77777777" w:rsidR="000F78F1" w:rsidRPr="000F78F1" w:rsidRDefault="000F78F1" w:rsidP="000F78F1">
      <w:pPr>
        <w:autoSpaceDE/>
        <w:autoSpaceDN/>
        <w:adjustRightInd/>
        <w:spacing w:after="0"/>
        <w:textAlignment w:val="baseline"/>
        <w:rPr>
          <w:rFonts w:eastAsia="Times New Roman" w:cs="Arial"/>
          <w:color w:val="auto"/>
          <w:highlight w:val="yellow"/>
          <w:lang w:eastAsia="en-GB"/>
        </w:rPr>
      </w:pPr>
    </w:p>
    <w:p w14:paraId="1B0278F8" w14:textId="76E0F61E" w:rsidR="000F78F1" w:rsidRDefault="000F78F1" w:rsidP="000F78F1">
      <w:pPr>
        <w:autoSpaceDE/>
        <w:autoSpaceDN/>
        <w:adjustRightInd/>
        <w:spacing w:after="0"/>
        <w:textAlignment w:val="baseline"/>
        <w:rPr>
          <w:rFonts w:eastAsia="Times New Roman" w:cs="Arial"/>
          <w:color w:val="auto"/>
          <w:highlight w:val="yellow"/>
          <w:lang w:eastAsia="en-GB"/>
        </w:rPr>
      </w:pPr>
    </w:p>
    <w:p w14:paraId="2F4ECC05" w14:textId="7CF59DAD" w:rsidR="00940D73" w:rsidRDefault="00940D73" w:rsidP="000F78F1">
      <w:pPr>
        <w:autoSpaceDE/>
        <w:autoSpaceDN/>
        <w:adjustRightInd/>
        <w:spacing w:after="0"/>
        <w:textAlignment w:val="baseline"/>
        <w:rPr>
          <w:rFonts w:eastAsia="Times New Roman" w:cs="Arial"/>
          <w:color w:val="auto"/>
          <w:highlight w:val="yellow"/>
          <w:lang w:eastAsia="en-GB"/>
        </w:rPr>
      </w:pPr>
    </w:p>
    <w:p w14:paraId="75AEE916" w14:textId="5230D8EB" w:rsidR="00940D73" w:rsidRDefault="00940D73" w:rsidP="000F78F1">
      <w:pPr>
        <w:autoSpaceDE/>
        <w:autoSpaceDN/>
        <w:adjustRightInd/>
        <w:spacing w:after="0"/>
        <w:textAlignment w:val="baseline"/>
        <w:rPr>
          <w:rFonts w:eastAsia="Times New Roman" w:cs="Arial"/>
          <w:color w:val="auto"/>
          <w:highlight w:val="yellow"/>
          <w:lang w:eastAsia="en-GB"/>
        </w:rPr>
      </w:pPr>
    </w:p>
    <w:p w14:paraId="36FE86D0" w14:textId="77777777" w:rsidR="00940D73" w:rsidRDefault="00940D73" w:rsidP="000F78F1">
      <w:pPr>
        <w:autoSpaceDE/>
        <w:autoSpaceDN/>
        <w:adjustRightInd/>
        <w:spacing w:after="0"/>
        <w:textAlignment w:val="baseline"/>
        <w:rPr>
          <w:rFonts w:eastAsia="Times New Roman" w:cs="Arial"/>
          <w:color w:val="auto"/>
          <w:highlight w:val="yellow"/>
          <w:lang w:eastAsia="en-GB"/>
        </w:rPr>
      </w:pPr>
    </w:p>
    <w:p w14:paraId="58A35E67" w14:textId="0E696DC3" w:rsidR="00C75BA1" w:rsidRDefault="00C75BA1" w:rsidP="000F78F1">
      <w:pPr>
        <w:autoSpaceDE/>
        <w:autoSpaceDN/>
        <w:adjustRightInd/>
        <w:spacing w:after="0"/>
        <w:textAlignment w:val="baseline"/>
        <w:rPr>
          <w:rFonts w:eastAsia="Times New Roman" w:cs="Arial"/>
          <w:color w:val="auto"/>
          <w:highlight w:val="yellow"/>
          <w:lang w:eastAsia="en-GB"/>
        </w:rPr>
      </w:pPr>
    </w:p>
    <w:p w14:paraId="6AE79E8C" w14:textId="5695A181" w:rsidR="00C75BA1" w:rsidRDefault="00C75BA1" w:rsidP="000F78F1">
      <w:pPr>
        <w:autoSpaceDE/>
        <w:autoSpaceDN/>
        <w:adjustRightInd/>
        <w:spacing w:after="0"/>
        <w:textAlignment w:val="baseline"/>
        <w:rPr>
          <w:rFonts w:eastAsia="Times New Roman" w:cs="Arial"/>
          <w:color w:val="auto"/>
          <w:highlight w:val="yellow"/>
          <w:lang w:eastAsia="en-GB"/>
        </w:rPr>
      </w:pPr>
    </w:p>
    <w:p w14:paraId="4561BF55" w14:textId="77777777" w:rsidR="00C75BA1" w:rsidRDefault="00C75BA1" w:rsidP="000F78F1">
      <w:pPr>
        <w:autoSpaceDE/>
        <w:autoSpaceDN/>
        <w:adjustRightInd/>
        <w:spacing w:after="0"/>
        <w:textAlignment w:val="baseline"/>
        <w:rPr>
          <w:rFonts w:eastAsia="Times New Roman" w:cs="Arial"/>
          <w:color w:val="auto"/>
          <w:highlight w:val="yellow"/>
          <w:lang w:eastAsia="en-GB"/>
        </w:rPr>
      </w:pPr>
    </w:p>
    <w:p w14:paraId="5577AA3C" w14:textId="77777777" w:rsidR="00C85DE4" w:rsidRDefault="00C85DE4" w:rsidP="000F78F1">
      <w:pPr>
        <w:autoSpaceDE/>
        <w:autoSpaceDN/>
        <w:adjustRightInd/>
        <w:spacing w:after="0"/>
        <w:textAlignment w:val="baseline"/>
        <w:rPr>
          <w:rFonts w:eastAsia="Times New Roman" w:cs="Arial"/>
          <w:color w:val="auto"/>
          <w:highlight w:val="yellow"/>
          <w:lang w:eastAsia="en-GB"/>
        </w:rPr>
      </w:pPr>
    </w:p>
    <w:p w14:paraId="78BCDC29" w14:textId="77777777" w:rsidR="00C85DE4" w:rsidRDefault="00C85DE4" w:rsidP="000F78F1">
      <w:pPr>
        <w:autoSpaceDE/>
        <w:autoSpaceDN/>
        <w:adjustRightInd/>
        <w:spacing w:after="0"/>
        <w:textAlignment w:val="baseline"/>
        <w:rPr>
          <w:rFonts w:eastAsia="Times New Roman" w:cs="Arial"/>
          <w:color w:val="auto"/>
          <w:highlight w:val="yellow"/>
          <w:lang w:eastAsia="en-GB"/>
        </w:rPr>
      </w:pPr>
    </w:p>
    <w:p w14:paraId="4FF744E1" w14:textId="77777777" w:rsidR="00C75BA1" w:rsidRPr="000F78F1" w:rsidRDefault="00C75BA1" w:rsidP="000F78F1">
      <w:pPr>
        <w:autoSpaceDE/>
        <w:autoSpaceDN/>
        <w:adjustRightInd/>
        <w:spacing w:after="0"/>
        <w:textAlignment w:val="baseline"/>
        <w:rPr>
          <w:rFonts w:eastAsia="Times New Roman" w:cs="Arial"/>
          <w:color w:val="auto"/>
          <w:highlight w:val="yellow"/>
          <w:lang w:eastAsia="en-GB"/>
        </w:rPr>
      </w:pPr>
    </w:p>
    <w:p w14:paraId="48E77EA3" w14:textId="77777777" w:rsidR="000F78F1" w:rsidRPr="000F78F1" w:rsidRDefault="000F78F1" w:rsidP="000F78F1">
      <w:pPr>
        <w:numPr>
          <w:ilvl w:val="0"/>
          <w:numId w:val="5"/>
        </w:numPr>
        <w:autoSpaceDE/>
        <w:autoSpaceDN/>
        <w:adjustRightInd/>
        <w:spacing w:after="0"/>
        <w:textAlignment w:val="baseline"/>
        <w:rPr>
          <w:rFonts w:eastAsia="Times New Roman" w:cs="Arial"/>
          <w:b/>
          <w:bCs/>
          <w:color w:val="auto"/>
          <w:u w:val="single"/>
          <w:lang w:eastAsia="en-GB"/>
        </w:rPr>
      </w:pPr>
      <w:bookmarkStart w:id="14" w:name="_Hlk125028716"/>
      <w:r w:rsidRPr="000F78F1">
        <w:rPr>
          <w:rFonts w:eastAsia="Times New Roman" w:cs="Arial"/>
          <w:b/>
          <w:bCs/>
          <w:color w:val="auto"/>
          <w:u w:val="single"/>
          <w:lang w:eastAsia="en-GB"/>
        </w:rPr>
        <w:lastRenderedPageBreak/>
        <w:t xml:space="preserve">Growth, Environment and Transport Directorate </w:t>
      </w:r>
    </w:p>
    <w:p w14:paraId="73F2040F" w14:textId="77777777" w:rsidR="000F78F1" w:rsidRPr="000F78F1" w:rsidRDefault="000F78F1" w:rsidP="000F78F1">
      <w:pPr>
        <w:autoSpaceDE/>
        <w:autoSpaceDN/>
        <w:adjustRightInd/>
        <w:spacing w:after="0"/>
        <w:textAlignment w:val="baseline"/>
        <w:rPr>
          <w:rFonts w:eastAsia="Times New Roman" w:cs="Arial"/>
          <w:b/>
          <w:bCs/>
          <w:color w:val="auto"/>
          <w:highlight w:val="yellow"/>
          <w:u w:val="single"/>
          <w:lang w:eastAsia="en-GB"/>
        </w:rPr>
      </w:pPr>
    </w:p>
    <w:tbl>
      <w:tblPr>
        <w:tblW w:w="9297" w:type="dxa"/>
        <w:tblLook w:val="04A0" w:firstRow="1" w:lastRow="0" w:firstColumn="1" w:lastColumn="0" w:noHBand="0" w:noVBand="1"/>
      </w:tblPr>
      <w:tblGrid>
        <w:gridCol w:w="3870"/>
        <w:gridCol w:w="1084"/>
        <w:gridCol w:w="1084"/>
        <w:gridCol w:w="1050"/>
        <w:gridCol w:w="1050"/>
        <w:gridCol w:w="1159"/>
      </w:tblGrid>
      <w:tr w:rsidR="00C75BA1" w:rsidRPr="00C75BA1" w14:paraId="36A23881" w14:textId="77777777" w:rsidTr="00C75BA1">
        <w:trPr>
          <w:trHeight w:val="744"/>
        </w:trPr>
        <w:tc>
          <w:tcPr>
            <w:tcW w:w="43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167CF0"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Service Area</w:t>
            </w:r>
          </w:p>
        </w:tc>
        <w:tc>
          <w:tcPr>
            <w:tcW w:w="872" w:type="dxa"/>
            <w:tcBorders>
              <w:top w:val="single" w:sz="4" w:space="0" w:color="auto"/>
              <w:left w:val="nil"/>
              <w:bottom w:val="single" w:sz="4" w:space="0" w:color="auto"/>
              <w:right w:val="single" w:sz="4" w:space="0" w:color="auto"/>
            </w:tcBorders>
            <w:shd w:val="clear" w:color="000000" w:fill="D9D9D9"/>
            <w:vAlign w:val="center"/>
            <w:hideMark/>
          </w:tcPr>
          <w:p w14:paraId="6AC3CC04"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xml:space="preserve">Net Budget </w:t>
            </w:r>
          </w:p>
        </w:tc>
        <w:tc>
          <w:tcPr>
            <w:tcW w:w="981" w:type="dxa"/>
            <w:tcBorders>
              <w:top w:val="single" w:sz="4" w:space="0" w:color="auto"/>
              <w:left w:val="nil"/>
              <w:bottom w:val="single" w:sz="4" w:space="0" w:color="auto"/>
              <w:right w:val="single" w:sz="4" w:space="0" w:color="auto"/>
            </w:tcBorders>
            <w:shd w:val="clear" w:color="000000" w:fill="D9D9D9"/>
            <w:vAlign w:val="center"/>
            <w:hideMark/>
          </w:tcPr>
          <w:p w14:paraId="7476A492"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xml:space="preserve">Net Forecast Outturn </w:t>
            </w:r>
          </w:p>
        </w:tc>
        <w:tc>
          <w:tcPr>
            <w:tcW w:w="1012" w:type="dxa"/>
            <w:tcBorders>
              <w:top w:val="single" w:sz="4" w:space="0" w:color="auto"/>
              <w:left w:val="nil"/>
              <w:bottom w:val="single" w:sz="4" w:space="0" w:color="auto"/>
              <w:right w:val="single" w:sz="4" w:space="0" w:color="auto"/>
            </w:tcBorders>
            <w:shd w:val="clear" w:color="000000" w:fill="D9D9D9"/>
            <w:vAlign w:val="center"/>
            <w:hideMark/>
          </w:tcPr>
          <w:p w14:paraId="06945D31"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Net Forecast Variance</w:t>
            </w:r>
          </w:p>
        </w:tc>
        <w:tc>
          <w:tcPr>
            <w:tcW w:w="903" w:type="dxa"/>
            <w:tcBorders>
              <w:top w:val="single" w:sz="4" w:space="0" w:color="auto"/>
              <w:left w:val="nil"/>
              <w:bottom w:val="single" w:sz="4" w:space="0" w:color="auto"/>
              <w:right w:val="single" w:sz="4" w:space="0" w:color="auto"/>
            </w:tcBorders>
            <w:shd w:val="clear" w:color="000000" w:fill="D9D9D9"/>
            <w:vAlign w:val="center"/>
            <w:hideMark/>
          </w:tcPr>
          <w:p w14:paraId="04C7E6DD"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Net Forecast Variance</w:t>
            </w:r>
          </w:p>
        </w:tc>
        <w:tc>
          <w:tcPr>
            <w:tcW w:w="1183" w:type="dxa"/>
            <w:tcBorders>
              <w:top w:val="single" w:sz="4" w:space="0" w:color="auto"/>
              <w:left w:val="nil"/>
              <w:bottom w:val="single" w:sz="4" w:space="0" w:color="auto"/>
              <w:right w:val="single" w:sz="4" w:space="0" w:color="auto"/>
            </w:tcBorders>
            <w:shd w:val="clear" w:color="000000" w:fill="D9D9D9"/>
            <w:vAlign w:val="center"/>
            <w:hideMark/>
          </w:tcPr>
          <w:p w14:paraId="03F05965"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Q2 Variance</w:t>
            </w:r>
          </w:p>
        </w:tc>
      </w:tr>
      <w:tr w:rsidR="00C75BA1" w:rsidRPr="00C75BA1" w14:paraId="783CA322" w14:textId="77777777" w:rsidTr="00C75BA1">
        <w:trPr>
          <w:trHeight w:val="291"/>
        </w:trPr>
        <w:tc>
          <w:tcPr>
            <w:tcW w:w="4346" w:type="dxa"/>
            <w:tcBorders>
              <w:top w:val="nil"/>
              <w:left w:val="single" w:sz="8" w:space="0" w:color="auto"/>
              <w:bottom w:val="single" w:sz="4" w:space="0" w:color="auto"/>
              <w:right w:val="single" w:sz="4" w:space="0" w:color="auto"/>
            </w:tcBorders>
            <w:shd w:val="clear" w:color="000000" w:fill="D9D9D9"/>
            <w:vAlign w:val="center"/>
            <w:hideMark/>
          </w:tcPr>
          <w:p w14:paraId="085E8B47"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w:t>
            </w:r>
          </w:p>
        </w:tc>
        <w:tc>
          <w:tcPr>
            <w:tcW w:w="872" w:type="dxa"/>
            <w:tcBorders>
              <w:top w:val="nil"/>
              <w:left w:val="nil"/>
              <w:bottom w:val="nil"/>
              <w:right w:val="single" w:sz="4" w:space="0" w:color="auto"/>
            </w:tcBorders>
            <w:shd w:val="clear" w:color="000000" w:fill="D9D9D9"/>
            <w:vAlign w:val="center"/>
            <w:hideMark/>
          </w:tcPr>
          <w:p w14:paraId="2E11D12D"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981" w:type="dxa"/>
            <w:tcBorders>
              <w:top w:val="nil"/>
              <w:left w:val="nil"/>
              <w:bottom w:val="nil"/>
              <w:right w:val="single" w:sz="4" w:space="0" w:color="auto"/>
            </w:tcBorders>
            <w:shd w:val="clear" w:color="000000" w:fill="D9D9D9"/>
            <w:vAlign w:val="center"/>
            <w:hideMark/>
          </w:tcPr>
          <w:p w14:paraId="7C926F87"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1012" w:type="dxa"/>
            <w:tcBorders>
              <w:top w:val="nil"/>
              <w:left w:val="nil"/>
              <w:bottom w:val="nil"/>
              <w:right w:val="single" w:sz="4" w:space="0" w:color="auto"/>
            </w:tcBorders>
            <w:shd w:val="clear" w:color="000000" w:fill="D9D9D9"/>
            <w:vAlign w:val="center"/>
            <w:hideMark/>
          </w:tcPr>
          <w:p w14:paraId="18CD997D"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903" w:type="dxa"/>
            <w:tcBorders>
              <w:top w:val="nil"/>
              <w:left w:val="nil"/>
              <w:bottom w:val="nil"/>
              <w:right w:val="single" w:sz="4" w:space="0" w:color="auto"/>
            </w:tcBorders>
            <w:shd w:val="clear" w:color="000000" w:fill="D9D9D9"/>
            <w:vAlign w:val="center"/>
            <w:hideMark/>
          </w:tcPr>
          <w:p w14:paraId="2286053D"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w:t>
            </w:r>
          </w:p>
        </w:tc>
        <w:tc>
          <w:tcPr>
            <w:tcW w:w="1183" w:type="dxa"/>
            <w:tcBorders>
              <w:top w:val="nil"/>
              <w:left w:val="nil"/>
              <w:bottom w:val="nil"/>
              <w:right w:val="single" w:sz="4" w:space="0" w:color="auto"/>
            </w:tcBorders>
            <w:shd w:val="clear" w:color="000000" w:fill="D9D9D9"/>
            <w:vAlign w:val="center"/>
            <w:hideMark/>
          </w:tcPr>
          <w:p w14:paraId="0A83AAD0" w14:textId="77777777" w:rsidR="00C75BA1" w:rsidRPr="00C75BA1" w:rsidRDefault="00C75BA1" w:rsidP="00C75BA1">
            <w:pPr>
              <w:autoSpaceDE/>
              <w:autoSpaceDN/>
              <w:adjustRightInd/>
              <w:spacing w:after="0"/>
              <w:jc w:val="center"/>
              <w:rPr>
                <w:rFonts w:eastAsia="Times New Roman" w:cs="Arial"/>
                <w:b/>
                <w:bCs/>
                <w:color w:val="auto"/>
                <w:sz w:val="20"/>
                <w:szCs w:val="20"/>
                <w:lang w:eastAsia="en-GB"/>
              </w:rPr>
            </w:pPr>
            <w:r w:rsidRPr="00C75BA1">
              <w:rPr>
                <w:rFonts w:eastAsia="Times New Roman" w:cs="Arial"/>
                <w:b/>
                <w:bCs/>
                <w:color w:val="auto"/>
                <w:sz w:val="20"/>
                <w:szCs w:val="20"/>
                <w:lang w:eastAsia="en-GB"/>
              </w:rPr>
              <w:t>£m</w:t>
            </w:r>
          </w:p>
        </w:tc>
      </w:tr>
      <w:tr w:rsidR="00C75BA1" w:rsidRPr="00C75BA1" w14:paraId="521EE8E3" w14:textId="77777777" w:rsidTr="00C75BA1">
        <w:trPr>
          <w:trHeight w:val="291"/>
        </w:trPr>
        <w:tc>
          <w:tcPr>
            <w:tcW w:w="4346" w:type="dxa"/>
            <w:tcBorders>
              <w:top w:val="nil"/>
              <w:left w:val="single" w:sz="8" w:space="0" w:color="auto"/>
              <w:bottom w:val="single" w:sz="4" w:space="0" w:color="auto"/>
              <w:right w:val="single" w:sz="4" w:space="0" w:color="auto"/>
            </w:tcBorders>
            <w:shd w:val="clear" w:color="000000" w:fill="D9D9D9"/>
            <w:vAlign w:val="center"/>
            <w:hideMark/>
          </w:tcPr>
          <w:p w14:paraId="494B4AAF"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Waste Management</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87CF4D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71.720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1CC8B63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70.337</w:t>
            </w:r>
          </w:p>
        </w:tc>
        <w:tc>
          <w:tcPr>
            <w:tcW w:w="1012" w:type="dxa"/>
            <w:tcBorders>
              <w:top w:val="single" w:sz="4" w:space="0" w:color="auto"/>
              <w:left w:val="nil"/>
              <w:bottom w:val="single" w:sz="4" w:space="0" w:color="auto"/>
              <w:right w:val="single" w:sz="4" w:space="0" w:color="auto"/>
            </w:tcBorders>
            <w:shd w:val="clear" w:color="000000" w:fill="D9D9D9"/>
            <w:vAlign w:val="center"/>
            <w:hideMark/>
          </w:tcPr>
          <w:p w14:paraId="5B032FF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-1.383</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2454550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-1.93%</w:t>
            </w:r>
          </w:p>
        </w:tc>
        <w:tc>
          <w:tcPr>
            <w:tcW w:w="1183" w:type="dxa"/>
            <w:tcBorders>
              <w:top w:val="single" w:sz="4" w:space="0" w:color="auto"/>
              <w:left w:val="nil"/>
              <w:bottom w:val="single" w:sz="4" w:space="0" w:color="auto"/>
              <w:right w:val="single" w:sz="4" w:space="0" w:color="auto"/>
            </w:tcBorders>
            <w:shd w:val="clear" w:color="000000" w:fill="D9D9D9"/>
            <w:vAlign w:val="center"/>
            <w:hideMark/>
          </w:tcPr>
          <w:p w14:paraId="524F9549"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-0.479</w:t>
            </w:r>
          </w:p>
        </w:tc>
      </w:tr>
      <w:tr w:rsidR="00C75BA1" w:rsidRPr="00C75BA1" w14:paraId="3AA54925" w14:textId="77777777" w:rsidTr="00C75BA1">
        <w:trPr>
          <w:trHeight w:val="291"/>
        </w:trPr>
        <w:tc>
          <w:tcPr>
            <w:tcW w:w="4346" w:type="dxa"/>
            <w:tcBorders>
              <w:top w:val="nil"/>
              <w:left w:val="single" w:sz="8" w:space="0" w:color="auto"/>
              <w:bottom w:val="single" w:sz="4" w:space="0" w:color="auto"/>
              <w:right w:val="single" w:sz="4" w:space="0" w:color="auto"/>
            </w:tcBorders>
            <w:shd w:val="clear" w:color="000000" w:fill="D9D9D9"/>
            <w:vAlign w:val="center"/>
            <w:hideMark/>
          </w:tcPr>
          <w:p w14:paraId="06D91E5E"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Highways</w:t>
            </w:r>
          </w:p>
        </w:tc>
        <w:tc>
          <w:tcPr>
            <w:tcW w:w="872" w:type="dxa"/>
            <w:tcBorders>
              <w:top w:val="nil"/>
              <w:left w:val="nil"/>
              <w:bottom w:val="single" w:sz="4" w:space="0" w:color="auto"/>
              <w:right w:val="single" w:sz="4" w:space="0" w:color="auto"/>
            </w:tcBorders>
            <w:shd w:val="clear" w:color="auto" w:fill="auto"/>
            <w:vAlign w:val="center"/>
            <w:hideMark/>
          </w:tcPr>
          <w:p w14:paraId="526E9DB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16.476</w:t>
            </w:r>
          </w:p>
        </w:tc>
        <w:tc>
          <w:tcPr>
            <w:tcW w:w="981" w:type="dxa"/>
            <w:tcBorders>
              <w:top w:val="nil"/>
              <w:left w:val="nil"/>
              <w:bottom w:val="single" w:sz="4" w:space="0" w:color="auto"/>
              <w:right w:val="single" w:sz="4" w:space="0" w:color="auto"/>
            </w:tcBorders>
            <w:shd w:val="clear" w:color="auto" w:fill="auto"/>
            <w:vAlign w:val="center"/>
            <w:hideMark/>
          </w:tcPr>
          <w:p w14:paraId="78A55DB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13.465</w:t>
            </w:r>
          </w:p>
        </w:tc>
        <w:tc>
          <w:tcPr>
            <w:tcW w:w="1012" w:type="dxa"/>
            <w:tcBorders>
              <w:top w:val="nil"/>
              <w:left w:val="nil"/>
              <w:bottom w:val="single" w:sz="4" w:space="0" w:color="auto"/>
              <w:right w:val="single" w:sz="4" w:space="0" w:color="auto"/>
            </w:tcBorders>
            <w:shd w:val="clear" w:color="000000" w:fill="D9D9D9"/>
            <w:vAlign w:val="center"/>
            <w:hideMark/>
          </w:tcPr>
          <w:p w14:paraId="7B08B5A1"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-3.011</w:t>
            </w:r>
          </w:p>
        </w:tc>
        <w:tc>
          <w:tcPr>
            <w:tcW w:w="903" w:type="dxa"/>
            <w:tcBorders>
              <w:top w:val="nil"/>
              <w:left w:val="nil"/>
              <w:bottom w:val="single" w:sz="4" w:space="0" w:color="auto"/>
              <w:right w:val="single" w:sz="4" w:space="0" w:color="auto"/>
            </w:tcBorders>
            <w:shd w:val="clear" w:color="auto" w:fill="auto"/>
            <w:vAlign w:val="center"/>
            <w:hideMark/>
          </w:tcPr>
          <w:p w14:paraId="182CC96B"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-18.28%</w:t>
            </w:r>
          </w:p>
        </w:tc>
        <w:tc>
          <w:tcPr>
            <w:tcW w:w="1183" w:type="dxa"/>
            <w:tcBorders>
              <w:top w:val="nil"/>
              <w:left w:val="nil"/>
              <w:bottom w:val="single" w:sz="4" w:space="0" w:color="auto"/>
              <w:right w:val="single" w:sz="4" w:space="0" w:color="auto"/>
            </w:tcBorders>
            <w:shd w:val="clear" w:color="000000" w:fill="D9D9D9"/>
            <w:vAlign w:val="center"/>
            <w:hideMark/>
          </w:tcPr>
          <w:p w14:paraId="0937BEF4"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-1.179</w:t>
            </w:r>
          </w:p>
        </w:tc>
      </w:tr>
      <w:tr w:rsidR="00C75BA1" w:rsidRPr="00C75BA1" w14:paraId="151F8FA7" w14:textId="77777777" w:rsidTr="00C75BA1">
        <w:trPr>
          <w:trHeight w:val="291"/>
        </w:trPr>
        <w:tc>
          <w:tcPr>
            <w:tcW w:w="4346" w:type="dxa"/>
            <w:tcBorders>
              <w:top w:val="nil"/>
              <w:left w:val="single" w:sz="8" w:space="0" w:color="auto"/>
              <w:bottom w:val="single" w:sz="4" w:space="0" w:color="auto"/>
              <w:right w:val="single" w:sz="4" w:space="0" w:color="auto"/>
            </w:tcBorders>
            <w:shd w:val="clear" w:color="000000" w:fill="D9D9D9"/>
            <w:vAlign w:val="center"/>
            <w:hideMark/>
          </w:tcPr>
          <w:p w14:paraId="71F3D440"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Public &amp; Integrated Transport</w:t>
            </w:r>
          </w:p>
        </w:tc>
        <w:tc>
          <w:tcPr>
            <w:tcW w:w="872" w:type="dxa"/>
            <w:tcBorders>
              <w:top w:val="nil"/>
              <w:left w:val="nil"/>
              <w:bottom w:val="single" w:sz="4" w:space="0" w:color="auto"/>
              <w:right w:val="single" w:sz="4" w:space="0" w:color="auto"/>
            </w:tcBorders>
            <w:shd w:val="clear" w:color="auto" w:fill="auto"/>
            <w:vAlign w:val="center"/>
            <w:hideMark/>
          </w:tcPr>
          <w:p w14:paraId="322283D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57.945</w:t>
            </w:r>
          </w:p>
        </w:tc>
        <w:tc>
          <w:tcPr>
            <w:tcW w:w="981" w:type="dxa"/>
            <w:tcBorders>
              <w:top w:val="nil"/>
              <w:left w:val="nil"/>
              <w:bottom w:val="single" w:sz="4" w:space="0" w:color="auto"/>
              <w:right w:val="single" w:sz="4" w:space="0" w:color="auto"/>
            </w:tcBorders>
            <w:shd w:val="clear" w:color="auto" w:fill="auto"/>
            <w:vAlign w:val="center"/>
            <w:hideMark/>
          </w:tcPr>
          <w:p w14:paraId="71290B8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57.605</w:t>
            </w:r>
          </w:p>
        </w:tc>
        <w:tc>
          <w:tcPr>
            <w:tcW w:w="1012" w:type="dxa"/>
            <w:tcBorders>
              <w:top w:val="nil"/>
              <w:left w:val="nil"/>
              <w:bottom w:val="single" w:sz="4" w:space="0" w:color="auto"/>
              <w:right w:val="single" w:sz="4" w:space="0" w:color="auto"/>
            </w:tcBorders>
            <w:shd w:val="clear" w:color="000000" w:fill="D9D9D9"/>
            <w:vAlign w:val="center"/>
            <w:hideMark/>
          </w:tcPr>
          <w:p w14:paraId="4EACF36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-0.340</w:t>
            </w:r>
          </w:p>
        </w:tc>
        <w:tc>
          <w:tcPr>
            <w:tcW w:w="903" w:type="dxa"/>
            <w:tcBorders>
              <w:top w:val="nil"/>
              <w:left w:val="nil"/>
              <w:bottom w:val="single" w:sz="4" w:space="0" w:color="auto"/>
              <w:right w:val="single" w:sz="4" w:space="0" w:color="auto"/>
            </w:tcBorders>
            <w:shd w:val="clear" w:color="auto" w:fill="auto"/>
            <w:vAlign w:val="center"/>
            <w:hideMark/>
          </w:tcPr>
          <w:p w14:paraId="5C02352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-0.59%</w:t>
            </w:r>
          </w:p>
        </w:tc>
        <w:tc>
          <w:tcPr>
            <w:tcW w:w="1183" w:type="dxa"/>
            <w:tcBorders>
              <w:top w:val="nil"/>
              <w:left w:val="nil"/>
              <w:bottom w:val="single" w:sz="4" w:space="0" w:color="auto"/>
              <w:right w:val="single" w:sz="4" w:space="0" w:color="auto"/>
            </w:tcBorders>
            <w:shd w:val="clear" w:color="000000" w:fill="D9D9D9"/>
            <w:vAlign w:val="center"/>
            <w:hideMark/>
          </w:tcPr>
          <w:p w14:paraId="5BBDA2E8"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-0.577</w:t>
            </w:r>
          </w:p>
        </w:tc>
      </w:tr>
      <w:tr w:rsidR="00C75BA1" w:rsidRPr="00C75BA1" w14:paraId="69F18A2C" w14:textId="77777777" w:rsidTr="00C75BA1">
        <w:trPr>
          <w:trHeight w:val="291"/>
        </w:trPr>
        <w:tc>
          <w:tcPr>
            <w:tcW w:w="4346" w:type="dxa"/>
            <w:tcBorders>
              <w:top w:val="nil"/>
              <w:left w:val="single" w:sz="8" w:space="0" w:color="auto"/>
              <w:bottom w:val="single" w:sz="4" w:space="0" w:color="auto"/>
              <w:right w:val="single" w:sz="4" w:space="0" w:color="auto"/>
            </w:tcBorders>
            <w:shd w:val="clear" w:color="000000" w:fill="D9D9D9"/>
            <w:vAlign w:val="center"/>
            <w:hideMark/>
          </w:tcPr>
          <w:p w14:paraId="76D6A652"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Design and Construction</w:t>
            </w:r>
          </w:p>
        </w:tc>
        <w:tc>
          <w:tcPr>
            <w:tcW w:w="872" w:type="dxa"/>
            <w:tcBorders>
              <w:top w:val="nil"/>
              <w:left w:val="nil"/>
              <w:bottom w:val="single" w:sz="4" w:space="0" w:color="auto"/>
              <w:right w:val="single" w:sz="4" w:space="0" w:color="auto"/>
            </w:tcBorders>
            <w:shd w:val="clear" w:color="auto" w:fill="auto"/>
            <w:vAlign w:val="center"/>
            <w:hideMark/>
          </w:tcPr>
          <w:p w14:paraId="23B7A1E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-2.419</w:t>
            </w:r>
          </w:p>
        </w:tc>
        <w:tc>
          <w:tcPr>
            <w:tcW w:w="981" w:type="dxa"/>
            <w:tcBorders>
              <w:top w:val="nil"/>
              <w:left w:val="nil"/>
              <w:bottom w:val="single" w:sz="4" w:space="0" w:color="auto"/>
              <w:right w:val="single" w:sz="4" w:space="0" w:color="auto"/>
            </w:tcBorders>
            <w:shd w:val="clear" w:color="auto" w:fill="auto"/>
            <w:vAlign w:val="center"/>
            <w:hideMark/>
          </w:tcPr>
          <w:p w14:paraId="56CA2BF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0.132</w:t>
            </w:r>
          </w:p>
        </w:tc>
        <w:tc>
          <w:tcPr>
            <w:tcW w:w="1012" w:type="dxa"/>
            <w:tcBorders>
              <w:top w:val="nil"/>
              <w:left w:val="nil"/>
              <w:bottom w:val="single" w:sz="4" w:space="0" w:color="auto"/>
              <w:right w:val="single" w:sz="4" w:space="0" w:color="auto"/>
            </w:tcBorders>
            <w:shd w:val="clear" w:color="000000" w:fill="D9D9D9"/>
            <w:vAlign w:val="center"/>
            <w:hideMark/>
          </w:tcPr>
          <w:p w14:paraId="2504E2B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2.552</w:t>
            </w:r>
          </w:p>
        </w:tc>
        <w:tc>
          <w:tcPr>
            <w:tcW w:w="903" w:type="dxa"/>
            <w:tcBorders>
              <w:top w:val="nil"/>
              <w:left w:val="nil"/>
              <w:bottom w:val="single" w:sz="4" w:space="0" w:color="auto"/>
              <w:right w:val="single" w:sz="4" w:space="0" w:color="auto"/>
            </w:tcBorders>
            <w:shd w:val="clear" w:color="auto" w:fill="auto"/>
            <w:vAlign w:val="center"/>
            <w:hideMark/>
          </w:tcPr>
          <w:p w14:paraId="477B683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-105.48%</w:t>
            </w:r>
          </w:p>
        </w:tc>
        <w:tc>
          <w:tcPr>
            <w:tcW w:w="1183" w:type="dxa"/>
            <w:tcBorders>
              <w:top w:val="nil"/>
              <w:left w:val="nil"/>
              <w:bottom w:val="single" w:sz="4" w:space="0" w:color="auto"/>
              <w:right w:val="single" w:sz="4" w:space="0" w:color="auto"/>
            </w:tcBorders>
            <w:shd w:val="clear" w:color="000000" w:fill="D9D9D9"/>
            <w:vAlign w:val="center"/>
            <w:hideMark/>
          </w:tcPr>
          <w:p w14:paraId="6459F3F9"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3.022</w:t>
            </w:r>
          </w:p>
        </w:tc>
      </w:tr>
      <w:tr w:rsidR="00C75BA1" w:rsidRPr="00C75BA1" w14:paraId="3DAA067B" w14:textId="77777777" w:rsidTr="00C75BA1">
        <w:trPr>
          <w:trHeight w:val="291"/>
        </w:trPr>
        <w:tc>
          <w:tcPr>
            <w:tcW w:w="4346" w:type="dxa"/>
            <w:tcBorders>
              <w:top w:val="nil"/>
              <w:left w:val="single" w:sz="8" w:space="0" w:color="auto"/>
              <w:bottom w:val="single" w:sz="4" w:space="0" w:color="auto"/>
              <w:right w:val="single" w:sz="4" w:space="0" w:color="auto"/>
            </w:tcBorders>
            <w:shd w:val="clear" w:color="000000" w:fill="D9D9D9"/>
            <w:vAlign w:val="center"/>
            <w:hideMark/>
          </w:tcPr>
          <w:p w14:paraId="724E9758"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Customer Access</w:t>
            </w:r>
          </w:p>
        </w:tc>
        <w:tc>
          <w:tcPr>
            <w:tcW w:w="872" w:type="dxa"/>
            <w:tcBorders>
              <w:top w:val="nil"/>
              <w:left w:val="nil"/>
              <w:bottom w:val="single" w:sz="4" w:space="0" w:color="auto"/>
              <w:right w:val="single" w:sz="4" w:space="0" w:color="auto"/>
            </w:tcBorders>
            <w:shd w:val="clear" w:color="auto" w:fill="auto"/>
            <w:vAlign w:val="center"/>
            <w:hideMark/>
          </w:tcPr>
          <w:p w14:paraId="4C10F13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3.085</w:t>
            </w:r>
          </w:p>
        </w:tc>
        <w:tc>
          <w:tcPr>
            <w:tcW w:w="981" w:type="dxa"/>
            <w:tcBorders>
              <w:top w:val="nil"/>
              <w:left w:val="nil"/>
              <w:bottom w:val="single" w:sz="4" w:space="0" w:color="auto"/>
              <w:right w:val="single" w:sz="4" w:space="0" w:color="auto"/>
            </w:tcBorders>
            <w:shd w:val="clear" w:color="auto" w:fill="auto"/>
            <w:vAlign w:val="center"/>
            <w:hideMark/>
          </w:tcPr>
          <w:p w14:paraId="4103D57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3.393</w:t>
            </w:r>
          </w:p>
        </w:tc>
        <w:tc>
          <w:tcPr>
            <w:tcW w:w="1012" w:type="dxa"/>
            <w:tcBorders>
              <w:top w:val="nil"/>
              <w:left w:val="nil"/>
              <w:bottom w:val="single" w:sz="4" w:space="0" w:color="auto"/>
              <w:right w:val="single" w:sz="4" w:space="0" w:color="auto"/>
            </w:tcBorders>
            <w:shd w:val="clear" w:color="000000" w:fill="D9D9D9"/>
            <w:vAlign w:val="center"/>
            <w:hideMark/>
          </w:tcPr>
          <w:p w14:paraId="4B21901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0.308</w:t>
            </w:r>
          </w:p>
        </w:tc>
        <w:tc>
          <w:tcPr>
            <w:tcW w:w="903" w:type="dxa"/>
            <w:tcBorders>
              <w:top w:val="nil"/>
              <w:left w:val="nil"/>
              <w:bottom w:val="single" w:sz="4" w:space="0" w:color="auto"/>
              <w:right w:val="single" w:sz="4" w:space="0" w:color="auto"/>
            </w:tcBorders>
            <w:shd w:val="clear" w:color="auto" w:fill="auto"/>
            <w:vAlign w:val="center"/>
            <w:hideMark/>
          </w:tcPr>
          <w:p w14:paraId="61A2D731"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9.99%</w:t>
            </w:r>
          </w:p>
        </w:tc>
        <w:tc>
          <w:tcPr>
            <w:tcW w:w="1183" w:type="dxa"/>
            <w:tcBorders>
              <w:top w:val="nil"/>
              <w:left w:val="nil"/>
              <w:bottom w:val="single" w:sz="4" w:space="0" w:color="auto"/>
              <w:right w:val="single" w:sz="4" w:space="0" w:color="auto"/>
            </w:tcBorders>
            <w:shd w:val="clear" w:color="000000" w:fill="D9D9D9"/>
            <w:vAlign w:val="center"/>
            <w:hideMark/>
          </w:tcPr>
          <w:p w14:paraId="3F265C26"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0.421</w:t>
            </w:r>
          </w:p>
        </w:tc>
      </w:tr>
      <w:tr w:rsidR="00C75BA1" w:rsidRPr="00C75BA1" w14:paraId="29ED27CB" w14:textId="77777777" w:rsidTr="00C75BA1">
        <w:trPr>
          <w:trHeight w:val="306"/>
        </w:trPr>
        <w:tc>
          <w:tcPr>
            <w:tcW w:w="4346" w:type="dxa"/>
            <w:tcBorders>
              <w:top w:val="nil"/>
              <w:left w:val="single" w:sz="8" w:space="0" w:color="auto"/>
              <w:bottom w:val="single" w:sz="8" w:space="0" w:color="auto"/>
              <w:right w:val="single" w:sz="4" w:space="0" w:color="auto"/>
            </w:tcBorders>
            <w:shd w:val="clear" w:color="000000" w:fill="D9D9D9"/>
            <w:vAlign w:val="center"/>
            <w:hideMark/>
          </w:tcPr>
          <w:p w14:paraId="3EC76D02" w14:textId="28EB1120"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 xml:space="preserve">Total Highways </w:t>
            </w:r>
            <w:r>
              <w:rPr>
                <w:rFonts w:eastAsia="Times New Roman" w:cs="Arial"/>
                <w:b/>
                <w:bCs/>
                <w:sz w:val="20"/>
                <w:szCs w:val="20"/>
                <w:lang w:eastAsia="en-GB"/>
              </w:rPr>
              <w:t>a</w:t>
            </w:r>
            <w:r w:rsidRPr="00C75BA1">
              <w:rPr>
                <w:rFonts w:eastAsia="Times New Roman" w:cs="Arial"/>
                <w:b/>
                <w:bCs/>
                <w:sz w:val="20"/>
                <w:szCs w:val="20"/>
                <w:lang w:eastAsia="en-GB"/>
              </w:rPr>
              <w:t>nd Transport</w:t>
            </w:r>
          </w:p>
        </w:tc>
        <w:tc>
          <w:tcPr>
            <w:tcW w:w="872" w:type="dxa"/>
            <w:tcBorders>
              <w:top w:val="nil"/>
              <w:left w:val="nil"/>
              <w:bottom w:val="single" w:sz="8" w:space="0" w:color="auto"/>
              <w:right w:val="single" w:sz="4" w:space="0" w:color="auto"/>
            </w:tcBorders>
            <w:shd w:val="clear" w:color="000000" w:fill="D9D9D9"/>
            <w:vAlign w:val="center"/>
            <w:hideMark/>
          </w:tcPr>
          <w:p w14:paraId="03ADB4C8"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146.806</w:t>
            </w:r>
          </w:p>
        </w:tc>
        <w:tc>
          <w:tcPr>
            <w:tcW w:w="981" w:type="dxa"/>
            <w:tcBorders>
              <w:top w:val="nil"/>
              <w:left w:val="nil"/>
              <w:bottom w:val="single" w:sz="8" w:space="0" w:color="auto"/>
              <w:right w:val="single" w:sz="4" w:space="0" w:color="auto"/>
            </w:tcBorders>
            <w:shd w:val="clear" w:color="000000" w:fill="D9D9D9"/>
            <w:vAlign w:val="center"/>
            <w:hideMark/>
          </w:tcPr>
          <w:p w14:paraId="39FD01F9"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144.933</w:t>
            </w:r>
          </w:p>
        </w:tc>
        <w:tc>
          <w:tcPr>
            <w:tcW w:w="1012" w:type="dxa"/>
            <w:tcBorders>
              <w:top w:val="nil"/>
              <w:left w:val="nil"/>
              <w:bottom w:val="single" w:sz="8" w:space="0" w:color="auto"/>
              <w:right w:val="single" w:sz="4" w:space="0" w:color="auto"/>
            </w:tcBorders>
            <w:shd w:val="clear" w:color="000000" w:fill="D9D9D9"/>
            <w:vAlign w:val="center"/>
            <w:hideMark/>
          </w:tcPr>
          <w:p w14:paraId="3A417277"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-1.873</w:t>
            </w:r>
          </w:p>
        </w:tc>
        <w:tc>
          <w:tcPr>
            <w:tcW w:w="903" w:type="dxa"/>
            <w:tcBorders>
              <w:top w:val="nil"/>
              <w:left w:val="nil"/>
              <w:bottom w:val="single" w:sz="8" w:space="0" w:color="auto"/>
              <w:right w:val="single" w:sz="4" w:space="0" w:color="auto"/>
            </w:tcBorders>
            <w:shd w:val="clear" w:color="000000" w:fill="D9D9D9"/>
            <w:vAlign w:val="center"/>
            <w:hideMark/>
          </w:tcPr>
          <w:p w14:paraId="7BD1243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-1.28%</w:t>
            </w:r>
          </w:p>
        </w:tc>
        <w:tc>
          <w:tcPr>
            <w:tcW w:w="1183" w:type="dxa"/>
            <w:tcBorders>
              <w:top w:val="nil"/>
              <w:left w:val="nil"/>
              <w:bottom w:val="single" w:sz="8" w:space="0" w:color="auto"/>
              <w:right w:val="single" w:sz="4" w:space="0" w:color="auto"/>
            </w:tcBorders>
            <w:shd w:val="clear" w:color="000000" w:fill="D9D9D9"/>
            <w:vAlign w:val="center"/>
            <w:hideMark/>
          </w:tcPr>
          <w:p w14:paraId="2167E5F2"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1.209</w:t>
            </w:r>
          </w:p>
        </w:tc>
      </w:tr>
      <w:tr w:rsidR="00C75BA1" w:rsidRPr="00C75BA1" w14:paraId="6BB3DF36" w14:textId="77777777" w:rsidTr="00C75BA1">
        <w:trPr>
          <w:trHeight w:val="306"/>
        </w:trPr>
        <w:tc>
          <w:tcPr>
            <w:tcW w:w="4346" w:type="dxa"/>
            <w:tcBorders>
              <w:top w:val="nil"/>
              <w:left w:val="single" w:sz="8" w:space="0" w:color="auto"/>
              <w:bottom w:val="single" w:sz="8" w:space="0" w:color="auto"/>
              <w:right w:val="single" w:sz="4" w:space="0" w:color="auto"/>
            </w:tcBorders>
            <w:shd w:val="clear" w:color="auto" w:fill="auto"/>
            <w:vAlign w:val="center"/>
          </w:tcPr>
          <w:p w14:paraId="0D92A92D" w14:textId="77777777" w:rsidR="00C75BA1" w:rsidRPr="00C75BA1" w:rsidRDefault="00C75BA1" w:rsidP="00C75BA1">
            <w:pPr>
              <w:autoSpaceDE/>
              <w:autoSpaceDN/>
              <w:adjustRightInd/>
              <w:spacing w:after="0"/>
              <w:jc w:val="left"/>
              <w:rPr>
                <w:rFonts w:eastAsia="Times New Roman" w:cs="Arial"/>
                <w:b/>
                <w:bCs/>
                <w:sz w:val="20"/>
                <w:szCs w:val="20"/>
                <w:lang w:eastAsia="en-GB"/>
              </w:rPr>
            </w:pPr>
          </w:p>
        </w:tc>
        <w:tc>
          <w:tcPr>
            <w:tcW w:w="872" w:type="dxa"/>
            <w:tcBorders>
              <w:top w:val="nil"/>
              <w:left w:val="nil"/>
              <w:bottom w:val="single" w:sz="8" w:space="0" w:color="auto"/>
              <w:right w:val="single" w:sz="4" w:space="0" w:color="auto"/>
            </w:tcBorders>
            <w:shd w:val="clear" w:color="auto" w:fill="auto"/>
            <w:vAlign w:val="center"/>
          </w:tcPr>
          <w:p w14:paraId="4E70C883"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981" w:type="dxa"/>
            <w:tcBorders>
              <w:top w:val="nil"/>
              <w:left w:val="nil"/>
              <w:bottom w:val="single" w:sz="8" w:space="0" w:color="auto"/>
              <w:right w:val="single" w:sz="4" w:space="0" w:color="auto"/>
            </w:tcBorders>
            <w:shd w:val="clear" w:color="auto" w:fill="auto"/>
            <w:vAlign w:val="center"/>
          </w:tcPr>
          <w:p w14:paraId="57C92706"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12" w:type="dxa"/>
            <w:tcBorders>
              <w:top w:val="nil"/>
              <w:left w:val="nil"/>
              <w:bottom w:val="single" w:sz="8" w:space="0" w:color="auto"/>
              <w:right w:val="single" w:sz="4" w:space="0" w:color="auto"/>
            </w:tcBorders>
            <w:shd w:val="clear" w:color="auto" w:fill="auto"/>
            <w:vAlign w:val="center"/>
          </w:tcPr>
          <w:p w14:paraId="5AEAFE6C"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903" w:type="dxa"/>
            <w:tcBorders>
              <w:top w:val="nil"/>
              <w:left w:val="nil"/>
              <w:bottom w:val="single" w:sz="8" w:space="0" w:color="auto"/>
              <w:right w:val="single" w:sz="4" w:space="0" w:color="auto"/>
            </w:tcBorders>
            <w:shd w:val="clear" w:color="auto" w:fill="auto"/>
            <w:vAlign w:val="center"/>
          </w:tcPr>
          <w:p w14:paraId="042F6EFF"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183" w:type="dxa"/>
            <w:tcBorders>
              <w:top w:val="nil"/>
              <w:left w:val="nil"/>
              <w:bottom w:val="single" w:sz="8" w:space="0" w:color="auto"/>
              <w:right w:val="single" w:sz="4" w:space="0" w:color="auto"/>
            </w:tcBorders>
            <w:shd w:val="clear" w:color="auto" w:fill="auto"/>
            <w:vAlign w:val="center"/>
          </w:tcPr>
          <w:p w14:paraId="2AC1E67C"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r>
      <w:tr w:rsidR="00C75BA1" w:rsidRPr="00C75BA1" w14:paraId="575DF24C" w14:textId="77777777" w:rsidTr="00C75BA1">
        <w:trPr>
          <w:trHeight w:val="291"/>
        </w:trPr>
        <w:tc>
          <w:tcPr>
            <w:tcW w:w="4346"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0A1C570A"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Business Growth</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C43C84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0.733</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4F66A3E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1.413</w:t>
            </w:r>
          </w:p>
        </w:tc>
        <w:tc>
          <w:tcPr>
            <w:tcW w:w="1012" w:type="dxa"/>
            <w:tcBorders>
              <w:top w:val="single" w:sz="4" w:space="0" w:color="auto"/>
              <w:left w:val="nil"/>
              <w:bottom w:val="single" w:sz="4" w:space="0" w:color="auto"/>
              <w:right w:val="single" w:sz="4" w:space="0" w:color="auto"/>
            </w:tcBorders>
            <w:shd w:val="clear" w:color="000000" w:fill="D9D9D9"/>
            <w:vAlign w:val="center"/>
            <w:hideMark/>
          </w:tcPr>
          <w:p w14:paraId="2FABC96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0.680</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6C59B25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92.83%</w:t>
            </w:r>
          </w:p>
        </w:tc>
        <w:tc>
          <w:tcPr>
            <w:tcW w:w="1183" w:type="dxa"/>
            <w:tcBorders>
              <w:top w:val="single" w:sz="4" w:space="0" w:color="auto"/>
              <w:left w:val="nil"/>
              <w:bottom w:val="single" w:sz="4" w:space="0" w:color="auto"/>
              <w:right w:val="single" w:sz="4" w:space="0" w:color="auto"/>
            </w:tcBorders>
            <w:shd w:val="clear" w:color="000000" w:fill="D9D9D9"/>
            <w:vAlign w:val="center"/>
            <w:hideMark/>
          </w:tcPr>
          <w:p w14:paraId="481B38C6"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0.543</w:t>
            </w:r>
          </w:p>
        </w:tc>
      </w:tr>
      <w:tr w:rsidR="00C75BA1" w:rsidRPr="00C75BA1" w14:paraId="30A0A863" w14:textId="77777777" w:rsidTr="00C75BA1">
        <w:trPr>
          <w:trHeight w:val="291"/>
        </w:trPr>
        <w:tc>
          <w:tcPr>
            <w:tcW w:w="4346" w:type="dxa"/>
            <w:tcBorders>
              <w:top w:val="nil"/>
              <w:left w:val="single" w:sz="8" w:space="0" w:color="auto"/>
              <w:bottom w:val="single" w:sz="4" w:space="0" w:color="auto"/>
              <w:right w:val="single" w:sz="4" w:space="0" w:color="auto"/>
            </w:tcBorders>
            <w:shd w:val="clear" w:color="000000" w:fill="D9D9D9"/>
            <w:vAlign w:val="center"/>
            <w:hideMark/>
          </w:tcPr>
          <w:p w14:paraId="4A253CC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Strategic Development</w:t>
            </w:r>
          </w:p>
        </w:tc>
        <w:tc>
          <w:tcPr>
            <w:tcW w:w="872" w:type="dxa"/>
            <w:tcBorders>
              <w:top w:val="nil"/>
              <w:left w:val="nil"/>
              <w:bottom w:val="single" w:sz="4" w:space="0" w:color="auto"/>
              <w:right w:val="single" w:sz="4" w:space="0" w:color="auto"/>
            </w:tcBorders>
            <w:shd w:val="clear" w:color="auto" w:fill="auto"/>
            <w:vAlign w:val="center"/>
            <w:hideMark/>
          </w:tcPr>
          <w:p w14:paraId="119A739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6.910</w:t>
            </w:r>
          </w:p>
        </w:tc>
        <w:tc>
          <w:tcPr>
            <w:tcW w:w="981" w:type="dxa"/>
            <w:tcBorders>
              <w:top w:val="nil"/>
              <w:left w:val="nil"/>
              <w:bottom w:val="single" w:sz="4" w:space="0" w:color="auto"/>
              <w:right w:val="single" w:sz="4" w:space="0" w:color="auto"/>
            </w:tcBorders>
            <w:shd w:val="clear" w:color="auto" w:fill="auto"/>
            <w:vAlign w:val="center"/>
            <w:hideMark/>
          </w:tcPr>
          <w:p w14:paraId="6D515001"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6.094</w:t>
            </w:r>
          </w:p>
        </w:tc>
        <w:tc>
          <w:tcPr>
            <w:tcW w:w="1012" w:type="dxa"/>
            <w:tcBorders>
              <w:top w:val="nil"/>
              <w:left w:val="nil"/>
              <w:bottom w:val="single" w:sz="4" w:space="0" w:color="auto"/>
              <w:right w:val="single" w:sz="4" w:space="0" w:color="auto"/>
            </w:tcBorders>
            <w:shd w:val="clear" w:color="000000" w:fill="D9D9D9"/>
            <w:vAlign w:val="center"/>
            <w:hideMark/>
          </w:tcPr>
          <w:p w14:paraId="637722A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-0.817</w:t>
            </w:r>
          </w:p>
        </w:tc>
        <w:tc>
          <w:tcPr>
            <w:tcW w:w="903" w:type="dxa"/>
            <w:tcBorders>
              <w:top w:val="nil"/>
              <w:left w:val="nil"/>
              <w:bottom w:val="single" w:sz="4" w:space="0" w:color="auto"/>
              <w:right w:val="single" w:sz="4" w:space="0" w:color="auto"/>
            </w:tcBorders>
            <w:shd w:val="clear" w:color="auto" w:fill="auto"/>
            <w:vAlign w:val="center"/>
            <w:hideMark/>
          </w:tcPr>
          <w:p w14:paraId="6C788CD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-11.82%</w:t>
            </w:r>
          </w:p>
        </w:tc>
        <w:tc>
          <w:tcPr>
            <w:tcW w:w="1183" w:type="dxa"/>
            <w:tcBorders>
              <w:top w:val="nil"/>
              <w:left w:val="nil"/>
              <w:bottom w:val="single" w:sz="4" w:space="0" w:color="auto"/>
              <w:right w:val="single" w:sz="4" w:space="0" w:color="auto"/>
            </w:tcBorders>
            <w:shd w:val="clear" w:color="000000" w:fill="D9D9D9"/>
            <w:vAlign w:val="center"/>
            <w:hideMark/>
          </w:tcPr>
          <w:p w14:paraId="67BF4AAC"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-0.700</w:t>
            </w:r>
          </w:p>
        </w:tc>
      </w:tr>
      <w:tr w:rsidR="00C75BA1" w:rsidRPr="00C75BA1" w14:paraId="46EDA027" w14:textId="77777777" w:rsidTr="00C75BA1">
        <w:trPr>
          <w:trHeight w:val="291"/>
        </w:trPr>
        <w:tc>
          <w:tcPr>
            <w:tcW w:w="4346" w:type="dxa"/>
            <w:tcBorders>
              <w:top w:val="nil"/>
              <w:left w:val="single" w:sz="8" w:space="0" w:color="auto"/>
              <w:bottom w:val="single" w:sz="4" w:space="0" w:color="auto"/>
              <w:right w:val="single" w:sz="4" w:space="0" w:color="auto"/>
            </w:tcBorders>
            <w:shd w:val="clear" w:color="000000" w:fill="D9D9D9"/>
            <w:vAlign w:val="center"/>
            <w:hideMark/>
          </w:tcPr>
          <w:p w14:paraId="1E68BA21"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LEP Coordination</w:t>
            </w:r>
          </w:p>
        </w:tc>
        <w:tc>
          <w:tcPr>
            <w:tcW w:w="872" w:type="dxa"/>
            <w:tcBorders>
              <w:top w:val="nil"/>
              <w:left w:val="nil"/>
              <w:bottom w:val="single" w:sz="4" w:space="0" w:color="auto"/>
              <w:right w:val="single" w:sz="4" w:space="0" w:color="auto"/>
            </w:tcBorders>
            <w:shd w:val="clear" w:color="auto" w:fill="auto"/>
            <w:vAlign w:val="center"/>
            <w:hideMark/>
          </w:tcPr>
          <w:p w14:paraId="32B9478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0.090</w:t>
            </w:r>
          </w:p>
        </w:tc>
        <w:tc>
          <w:tcPr>
            <w:tcW w:w="981" w:type="dxa"/>
            <w:tcBorders>
              <w:top w:val="nil"/>
              <w:left w:val="nil"/>
              <w:bottom w:val="single" w:sz="4" w:space="0" w:color="auto"/>
              <w:right w:val="single" w:sz="4" w:space="0" w:color="auto"/>
            </w:tcBorders>
            <w:shd w:val="clear" w:color="auto" w:fill="auto"/>
            <w:vAlign w:val="center"/>
            <w:hideMark/>
          </w:tcPr>
          <w:p w14:paraId="08F8C63B"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0.089</w:t>
            </w:r>
          </w:p>
        </w:tc>
        <w:tc>
          <w:tcPr>
            <w:tcW w:w="1012" w:type="dxa"/>
            <w:tcBorders>
              <w:top w:val="nil"/>
              <w:left w:val="nil"/>
              <w:bottom w:val="single" w:sz="4" w:space="0" w:color="auto"/>
              <w:right w:val="single" w:sz="4" w:space="0" w:color="auto"/>
            </w:tcBorders>
            <w:shd w:val="clear" w:color="000000" w:fill="D9D9D9"/>
            <w:vAlign w:val="center"/>
            <w:hideMark/>
          </w:tcPr>
          <w:p w14:paraId="4AD978E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903" w:type="dxa"/>
            <w:tcBorders>
              <w:top w:val="nil"/>
              <w:left w:val="nil"/>
              <w:bottom w:val="single" w:sz="4" w:space="0" w:color="auto"/>
              <w:right w:val="single" w:sz="4" w:space="0" w:color="auto"/>
            </w:tcBorders>
            <w:shd w:val="clear" w:color="auto" w:fill="auto"/>
            <w:vAlign w:val="center"/>
            <w:hideMark/>
          </w:tcPr>
          <w:p w14:paraId="1400545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-0.11%</w:t>
            </w:r>
          </w:p>
        </w:tc>
        <w:tc>
          <w:tcPr>
            <w:tcW w:w="1183" w:type="dxa"/>
            <w:tcBorders>
              <w:top w:val="nil"/>
              <w:left w:val="nil"/>
              <w:bottom w:val="single" w:sz="4" w:space="0" w:color="auto"/>
              <w:right w:val="single" w:sz="4" w:space="0" w:color="auto"/>
            </w:tcBorders>
            <w:shd w:val="clear" w:color="000000" w:fill="D9D9D9"/>
            <w:vAlign w:val="center"/>
            <w:hideMark/>
          </w:tcPr>
          <w:p w14:paraId="6BAF80D0"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0.000</w:t>
            </w:r>
          </w:p>
        </w:tc>
      </w:tr>
      <w:tr w:rsidR="00C75BA1" w:rsidRPr="00C75BA1" w14:paraId="56F30D67" w14:textId="77777777" w:rsidTr="00C75BA1">
        <w:trPr>
          <w:trHeight w:val="291"/>
        </w:trPr>
        <w:tc>
          <w:tcPr>
            <w:tcW w:w="4346" w:type="dxa"/>
            <w:tcBorders>
              <w:top w:val="nil"/>
              <w:left w:val="single" w:sz="8" w:space="0" w:color="auto"/>
              <w:bottom w:val="single" w:sz="4" w:space="0" w:color="auto"/>
              <w:right w:val="single" w:sz="4" w:space="0" w:color="auto"/>
            </w:tcBorders>
            <w:shd w:val="clear" w:color="000000" w:fill="D9D9D9"/>
            <w:vAlign w:val="center"/>
            <w:hideMark/>
          </w:tcPr>
          <w:p w14:paraId="2525C3EC"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Estates</w:t>
            </w:r>
          </w:p>
        </w:tc>
        <w:tc>
          <w:tcPr>
            <w:tcW w:w="872" w:type="dxa"/>
            <w:tcBorders>
              <w:top w:val="nil"/>
              <w:left w:val="nil"/>
              <w:bottom w:val="single" w:sz="4" w:space="0" w:color="auto"/>
              <w:right w:val="single" w:sz="4" w:space="0" w:color="auto"/>
            </w:tcBorders>
            <w:shd w:val="clear" w:color="auto" w:fill="auto"/>
            <w:vAlign w:val="center"/>
            <w:hideMark/>
          </w:tcPr>
          <w:p w14:paraId="34DA00B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0.529</w:t>
            </w:r>
          </w:p>
        </w:tc>
        <w:tc>
          <w:tcPr>
            <w:tcW w:w="981" w:type="dxa"/>
            <w:tcBorders>
              <w:top w:val="nil"/>
              <w:left w:val="nil"/>
              <w:bottom w:val="single" w:sz="4" w:space="0" w:color="auto"/>
              <w:right w:val="single" w:sz="4" w:space="0" w:color="auto"/>
            </w:tcBorders>
            <w:shd w:val="clear" w:color="auto" w:fill="auto"/>
            <w:vAlign w:val="center"/>
            <w:hideMark/>
          </w:tcPr>
          <w:p w14:paraId="2A5A270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0.423</w:t>
            </w:r>
          </w:p>
        </w:tc>
        <w:tc>
          <w:tcPr>
            <w:tcW w:w="1012" w:type="dxa"/>
            <w:tcBorders>
              <w:top w:val="nil"/>
              <w:left w:val="nil"/>
              <w:bottom w:val="single" w:sz="4" w:space="0" w:color="auto"/>
              <w:right w:val="single" w:sz="4" w:space="0" w:color="auto"/>
            </w:tcBorders>
            <w:shd w:val="clear" w:color="000000" w:fill="D9D9D9"/>
            <w:vAlign w:val="center"/>
            <w:hideMark/>
          </w:tcPr>
          <w:p w14:paraId="5F96FF8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-0.107</w:t>
            </w:r>
          </w:p>
        </w:tc>
        <w:tc>
          <w:tcPr>
            <w:tcW w:w="903" w:type="dxa"/>
            <w:tcBorders>
              <w:top w:val="nil"/>
              <w:left w:val="nil"/>
              <w:bottom w:val="single" w:sz="4" w:space="0" w:color="auto"/>
              <w:right w:val="single" w:sz="4" w:space="0" w:color="auto"/>
            </w:tcBorders>
            <w:shd w:val="clear" w:color="auto" w:fill="auto"/>
            <w:vAlign w:val="center"/>
            <w:hideMark/>
          </w:tcPr>
          <w:p w14:paraId="3ED566F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-20.14%</w:t>
            </w:r>
          </w:p>
        </w:tc>
        <w:tc>
          <w:tcPr>
            <w:tcW w:w="1183" w:type="dxa"/>
            <w:tcBorders>
              <w:top w:val="nil"/>
              <w:left w:val="nil"/>
              <w:bottom w:val="single" w:sz="4" w:space="0" w:color="auto"/>
              <w:right w:val="single" w:sz="4" w:space="0" w:color="auto"/>
            </w:tcBorders>
            <w:shd w:val="clear" w:color="000000" w:fill="D9D9D9"/>
            <w:vAlign w:val="center"/>
            <w:hideMark/>
          </w:tcPr>
          <w:p w14:paraId="1BDBB673"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-0.088</w:t>
            </w:r>
          </w:p>
        </w:tc>
      </w:tr>
      <w:tr w:rsidR="00C75BA1" w:rsidRPr="00C75BA1" w14:paraId="1C96ACA9" w14:textId="77777777" w:rsidTr="00C75BA1">
        <w:trPr>
          <w:trHeight w:val="306"/>
        </w:trPr>
        <w:tc>
          <w:tcPr>
            <w:tcW w:w="4346" w:type="dxa"/>
            <w:tcBorders>
              <w:top w:val="nil"/>
              <w:left w:val="single" w:sz="8" w:space="0" w:color="auto"/>
              <w:bottom w:val="single" w:sz="8" w:space="0" w:color="auto"/>
              <w:right w:val="single" w:sz="4" w:space="0" w:color="auto"/>
            </w:tcBorders>
            <w:shd w:val="clear" w:color="000000" w:fill="D9D9D9"/>
            <w:vAlign w:val="center"/>
            <w:hideMark/>
          </w:tcPr>
          <w:p w14:paraId="45560807"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Growth &amp; Regeneration</w:t>
            </w:r>
          </w:p>
        </w:tc>
        <w:tc>
          <w:tcPr>
            <w:tcW w:w="872" w:type="dxa"/>
            <w:tcBorders>
              <w:top w:val="nil"/>
              <w:left w:val="nil"/>
              <w:bottom w:val="single" w:sz="8" w:space="0" w:color="auto"/>
              <w:right w:val="single" w:sz="4" w:space="0" w:color="auto"/>
            </w:tcBorders>
            <w:shd w:val="clear" w:color="000000" w:fill="D9D9D9"/>
            <w:vAlign w:val="center"/>
            <w:hideMark/>
          </w:tcPr>
          <w:p w14:paraId="107EC5B2"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8.262</w:t>
            </w:r>
          </w:p>
        </w:tc>
        <w:tc>
          <w:tcPr>
            <w:tcW w:w="981" w:type="dxa"/>
            <w:tcBorders>
              <w:top w:val="nil"/>
              <w:left w:val="nil"/>
              <w:bottom w:val="single" w:sz="8" w:space="0" w:color="auto"/>
              <w:right w:val="single" w:sz="4" w:space="0" w:color="auto"/>
            </w:tcBorders>
            <w:shd w:val="clear" w:color="000000" w:fill="D9D9D9"/>
            <w:vAlign w:val="center"/>
            <w:hideMark/>
          </w:tcPr>
          <w:p w14:paraId="6A72E646"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8.019</w:t>
            </w:r>
          </w:p>
        </w:tc>
        <w:tc>
          <w:tcPr>
            <w:tcW w:w="1012" w:type="dxa"/>
            <w:tcBorders>
              <w:top w:val="nil"/>
              <w:left w:val="nil"/>
              <w:bottom w:val="single" w:sz="8" w:space="0" w:color="auto"/>
              <w:right w:val="single" w:sz="4" w:space="0" w:color="auto"/>
            </w:tcBorders>
            <w:shd w:val="clear" w:color="000000" w:fill="D9D9D9"/>
            <w:vAlign w:val="center"/>
            <w:hideMark/>
          </w:tcPr>
          <w:p w14:paraId="54F8F680"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-0.243</w:t>
            </w:r>
          </w:p>
        </w:tc>
        <w:tc>
          <w:tcPr>
            <w:tcW w:w="903" w:type="dxa"/>
            <w:tcBorders>
              <w:top w:val="nil"/>
              <w:left w:val="nil"/>
              <w:bottom w:val="single" w:sz="8" w:space="0" w:color="auto"/>
              <w:right w:val="single" w:sz="4" w:space="0" w:color="auto"/>
            </w:tcBorders>
            <w:shd w:val="clear" w:color="000000" w:fill="D9D9D9"/>
            <w:vAlign w:val="center"/>
            <w:hideMark/>
          </w:tcPr>
          <w:p w14:paraId="6E157BFE"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-2.94%</w:t>
            </w:r>
          </w:p>
        </w:tc>
        <w:tc>
          <w:tcPr>
            <w:tcW w:w="1183" w:type="dxa"/>
            <w:tcBorders>
              <w:top w:val="nil"/>
              <w:left w:val="nil"/>
              <w:bottom w:val="single" w:sz="8" w:space="0" w:color="auto"/>
              <w:right w:val="single" w:sz="4" w:space="0" w:color="auto"/>
            </w:tcBorders>
            <w:shd w:val="clear" w:color="000000" w:fill="D9D9D9"/>
            <w:vAlign w:val="center"/>
            <w:hideMark/>
          </w:tcPr>
          <w:p w14:paraId="4942A3E7"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-0.245</w:t>
            </w:r>
          </w:p>
        </w:tc>
      </w:tr>
      <w:tr w:rsidR="00C75BA1" w:rsidRPr="00C75BA1" w14:paraId="15788044" w14:textId="77777777" w:rsidTr="00C75BA1">
        <w:trPr>
          <w:trHeight w:val="306"/>
        </w:trPr>
        <w:tc>
          <w:tcPr>
            <w:tcW w:w="4346" w:type="dxa"/>
            <w:tcBorders>
              <w:top w:val="nil"/>
              <w:left w:val="single" w:sz="8" w:space="0" w:color="auto"/>
              <w:bottom w:val="single" w:sz="8" w:space="0" w:color="auto"/>
              <w:right w:val="single" w:sz="4" w:space="0" w:color="auto"/>
            </w:tcBorders>
            <w:shd w:val="clear" w:color="auto" w:fill="auto"/>
            <w:vAlign w:val="center"/>
          </w:tcPr>
          <w:p w14:paraId="026BD8AA" w14:textId="77777777" w:rsidR="00C75BA1" w:rsidRPr="00C75BA1" w:rsidRDefault="00C75BA1" w:rsidP="00C75BA1">
            <w:pPr>
              <w:autoSpaceDE/>
              <w:autoSpaceDN/>
              <w:adjustRightInd/>
              <w:spacing w:after="0"/>
              <w:jc w:val="left"/>
              <w:rPr>
                <w:rFonts w:eastAsia="Times New Roman" w:cs="Arial"/>
                <w:b/>
                <w:bCs/>
                <w:sz w:val="20"/>
                <w:szCs w:val="20"/>
                <w:lang w:eastAsia="en-GB"/>
              </w:rPr>
            </w:pPr>
          </w:p>
        </w:tc>
        <w:tc>
          <w:tcPr>
            <w:tcW w:w="872" w:type="dxa"/>
            <w:tcBorders>
              <w:top w:val="nil"/>
              <w:left w:val="nil"/>
              <w:bottom w:val="single" w:sz="8" w:space="0" w:color="auto"/>
              <w:right w:val="single" w:sz="4" w:space="0" w:color="auto"/>
            </w:tcBorders>
            <w:shd w:val="clear" w:color="auto" w:fill="auto"/>
            <w:vAlign w:val="center"/>
          </w:tcPr>
          <w:p w14:paraId="7E63A275"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981" w:type="dxa"/>
            <w:tcBorders>
              <w:top w:val="nil"/>
              <w:left w:val="nil"/>
              <w:bottom w:val="single" w:sz="8" w:space="0" w:color="auto"/>
              <w:right w:val="single" w:sz="4" w:space="0" w:color="auto"/>
            </w:tcBorders>
            <w:shd w:val="clear" w:color="auto" w:fill="auto"/>
            <w:vAlign w:val="center"/>
          </w:tcPr>
          <w:p w14:paraId="4F5C6541"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12" w:type="dxa"/>
            <w:tcBorders>
              <w:top w:val="nil"/>
              <w:left w:val="nil"/>
              <w:bottom w:val="single" w:sz="8" w:space="0" w:color="auto"/>
              <w:right w:val="single" w:sz="4" w:space="0" w:color="auto"/>
            </w:tcBorders>
            <w:shd w:val="clear" w:color="auto" w:fill="auto"/>
            <w:vAlign w:val="center"/>
          </w:tcPr>
          <w:p w14:paraId="26A55E09"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903" w:type="dxa"/>
            <w:tcBorders>
              <w:top w:val="nil"/>
              <w:left w:val="nil"/>
              <w:bottom w:val="single" w:sz="8" w:space="0" w:color="auto"/>
              <w:right w:val="single" w:sz="4" w:space="0" w:color="auto"/>
            </w:tcBorders>
            <w:shd w:val="clear" w:color="auto" w:fill="auto"/>
            <w:vAlign w:val="center"/>
          </w:tcPr>
          <w:p w14:paraId="31153691"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183" w:type="dxa"/>
            <w:tcBorders>
              <w:top w:val="nil"/>
              <w:left w:val="nil"/>
              <w:bottom w:val="single" w:sz="8" w:space="0" w:color="auto"/>
              <w:right w:val="single" w:sz="4" w:space="0" w:color="auto"/>
            </w:tcBorders>
            <w:shd w:val="clear" w:color="auto" w:fill="auto"/>
            <w:vAlign w:val="center"/>
          </w:tcPr>
          <w:p w14:paraId="15DB3477"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r>
      <w:tr w:rsidR="00C75BA1" w:rsidRPr="00C75BA1" w14:paraId="6F837778" w14:textId="77777777" w:rsidTr="00C75BA1">
        <w:trPr>
          <w:trHeight w:val="291"/>
        </w:trPr>
        <w:tc>
          <w:tcPr>
            <w:tcW w:w="4346"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B6A9DC5"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Planning and Environment</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433684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3.420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63336FB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3.413</w:t>
            </w:r>
          </w:p>
        </w:tc>
        <w:tc>
          <w:tcPr>
            <w:tcW w:w="1012" w:type="dxa"/>
            <w:tcBorders>
              <w:top w:val="single" w:sz="4" w:space="0" w:color="auto"/>
              <w:left w:val="nil"/>
              <w:bottom w:val="single" w:sz="4" w:space="0" w:color="auto"/>
              <w:right w:val="single" w:sz="4" w:space="0" w:color="auto"/>
            </w:tcBorders>
            <w:shd w:val="clear" w:color="000000" w:fill="D9D9D9"/>
            <w:vAlign w:val="center"/>
            <w:hideMark/>
          </w:tcPr>
          <w:p w14:paraId="47517AC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-0.007</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1BDEE53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-0.20%</w:t>
            </w:r>
          </w:p>
        </w:tc>
        <w:tc>
          <w:tcPr>
            <w:tcW w:w="1183" w:type="dxa"/>
            <w:tcBorders>
              <w:top w:val="single" w:sz="4" w:space="0" w:color="auto"/>
              <w:left w:val="nil"/>
              <w:bottom w:val="single" w:sz="4" w:space="0" w:color="auto"/>
              <w:right w:val="single" w:sz="4" w:space="0" w:color="auto"/>
            </w:tcBorders>
            <w:shd w:val="clear" w:color="000000" w:fill="D9D9D9"/>
            <w:vAlign w:val="center"/>
            <w:hideMark/>
          </w:tcPr>
          <w:p w14:paraId="510CB4DE"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-0.169</w:t>
            </w:r>
          </w:p>
        </w:tc>
      </w:tr>
      <w:tr w:rsidR="00C75BA1" w:rsidRPr="00C75BA1" w14:paraId="0D82CC05" w14:textId="77777777" w:rsidTr="00C75BA1">
        <w:trPr>
          <w:trHeight w:val="306"/>
        </w:trPr>
        <w:tc>
          <w:tcPr>
            <w:tcW w:w="4346" w:type="dxa"/>
            <w:tcBorders>
              <w:top w:val="nil"/>
              <w:left w:val="single" w:sz="8" w:space="0" w:color="auto"/>
              <w:bottom w:val="single" w:sz="8" w:space="0" w:color="auto"/>
              <w:right w:val="single" w:sz="4" w:space="0" w:color="auto"/>
            </w:tcBorders>
            <w:shd w:val="clear" w:color="000000" w:fill="D9D9D9"/>
            <w:vAlign w:val="center"/>
            <w:hideMark/>
          </w:tcPr>
          <w:p w14:paraId="218B3A18"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Environment &amp; Planning</w:t>
            </w:r>
          </w:p>
        </w:tc>
        <w:tc>
          <w:tcPr>
            <w:tcW w:w="872" w:type="dxa"/>
            <w:tcBorders>
              <w:top w:val="nil"/>
              <w:left w:val="nil"/>
              <w:bottom w:val="single" w:sz="8" w:space="0" w:color="auto"/>
              <w:right w:val="single" w:sz="4" w:space="0" w:color="auto"/>
            </w:tcBorders>
            <w:shd w:val="clear" w:color="000000" w:fill="D9D9D9"/>
            <w:vAlign w:val="center"/>
            <w:hideMark/>
          </w:tcPr>
          <w:p w14:paraId="75407C2A"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3.420</w:t>
            </w:r>
          </w:p>
        </w:tc>
        <w:tc>
          <w:tcPr>
            <w:tcW w:w="981" w:type="dxa"/>
            <w:tcBorders>
              <w:top w:val="nil"/>
              <w:left w:val="nil"/>
              <w:bottom w:val="single" w:sz="8" w:space="0" w:color="auto"/>
              <w:right w:val="single" w:sz="4" w:space="0" w:color="auto"/>
            </w:tcBorders>
            <w:shd w:val="clear" w:color="000000" w:fill="D9D9D9"/>
            <w:vAlign w:val="center"/>
            <w:hideMark/>
          </w:tcPr>
          <w:p w14:paraId="45E8421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3.413</w:t>
            </w:r>
          </w:p>
        </w:tc>
        <w:tc>
          <w:tcPr>
            <w:tcW w:w="1012" w:type="dxa"/>
            <w:tcBorders>
              <w:top w:val="nil"/>
              <w:left w:val="nil"/>
              <w:bottom w:val="single" w:sz="8" w:space="0" w:color="auto"/>
              <w:right w:val="single" w:sz="4" w:space="0" w:color="auto"/>
            </w:tcBorders>
            <w:shd w:val="clear" w:color="000000" w:fill="D9D9D9"/>
            <w:vAlign w:val="center"/>
            <w:hideMark/>
          </w:tcPr>
          <w:p w14:paraId="7A3CE08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-0.007</w:t>
            </w:r>
          </w:p>
        </w:tc>
        <w:tc>
          <w:tcPr>
            <w:tcW w:w="903" w:type="dxa"/>
            <w:tcBorders>
              <w:top w:val="nil"/>
              <w:left w:val="nil"/>
              <w:bottom w:val="single" w:sz="8" w:space="0" w:color="auto"/>
              <w:right w:val="single" w:sz="4" w:space="0" w:color="auto"/>
            </w:tcBorders>
            <w:shd w:val="clear" w:color="000000" w:fill="D9D9D9"/>
            <w:vAlign w:val="center"/>
            <w:hideMark/>
          </w:tcPr>
          <w:p w14:paraId="0C7F336E"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-0.20%</w:t>
            </w:r>
          </w:p>
        </w:tc>
        <w:tc>
          <w:tcPr>
            <w:tcW w:w="1183" w:type="dxa"/>
            <w:tcBorders>
              <w:top w:val="nil"/>
              <w:left w:val="nil"/>
              <w:bottom w:val="single" w:sz="8" w:space="0" w:color="auto"/>
              <w:right w:val="single" w:sz="4" w:space="0" w:color="auto"/>
            </w:tcBorders>
            <w:shd w:val="clear" w:color="000000" w:fill="D9D9D9"/>
            <w:vAlign w:val="center"/>
            <w:hideMark/>
          </w:tcPr>
          <w:p w14:paraId="06E4AB0D"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-0.169</w:t>
            </w:r>
          </w:p>
        </w:tc>
      </w:tr>
      <w:tr w:rsidR="00C75BA1" w:rsidRPr="00C75BA1" w14:paraId="3976026A" w14:textId="77777777" w:rsidTr="00C75BA1">
        <w:trPr>
          <w:trHeight w:val="306"/>
        </w:trPr>
        <w:tc>
          <w:tcPr>
            <w:tcW w:w="4346" w:type="dxa"/>
            <w:tcBorders>
              <w:top w:val="single" w:sz="4" w:space="0" w:color="auto"/>
              <w:left w:val="single" w:sz="8" w:space="0" w:color="auto"/>
              <w:bottom w:val="single" w:sz="8" w:space="0" w:color="auto"/>
              <w:right w:val="single" w:sz="4" w:space="0" w:color="auto"/>
            </w:tcBorders>
            <w:shd w:val="clear" w:color="auto" w:fill="auto"/>
            <w:vAlign w:val="center"/>
          </w:tcPr>
          <w:p w14:paraId="24D8402F" w14:textId="77777777" w:rsidR="00C75BA1" w:rsidRPr="00C75BA1" w:rsidRDefault="00C75BA1" w:rsidP="00C75BA1">
            <w:pPr>
              <w:autoSpaceDE/>
              <w:autoSpaceDN/>
              <w:adjustRightInd/>
              <w:spacing w:after="0"/>
              <w:jc w:val="left"/>
              <w:rPr>
                <w:rFonts w:eastAsia="Times New Roman" w:cs="Arial"/>
                <w:b/>
                <w:bCs/>
                <w:sz w:val="20"/>
                <w:szCs w:val="20"/>
                <w:lang w:eastAsia="en-GB"/>
              </w:rPr>
            </w:pPr>
          </w:p>
        </w:tc>
        <w:tc>
          <w:tcPr>
            <w:tcW w:w="872" w:type="dxa"/>
            <w:tcBorders>
              <w:top w:val="single" w:sz="4" w:space="0" w:color="auto"/>
              <w:left w:val="nil"/>
              <w:bottom w:val="single" w:sz="8" w:space="0" w:color="auto"/>
              <w:right w:val="single" w:sz="4" w:space="0" w:color="auto"/>
            </w:tcBorders>
            <w:shd w:val="clear" w:color="auto" w:fill="auto"/>
            <w:vAlign w:val="center"/>
          </w:tcPr>
          <w:p w14:paraId="1723237E"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981" w:type="dxa"/>
            <w:tcBorders>
              <w:top w:val="single" w:sz="4" w:space="0" w:color="auto"/>
              <w:left w:val="nil"/>
              <w:bottom w:val="single" w:sz="8" w:space="0" w:color="auto"/>
              <w:right w:val="single" w:sz="4" w:space="0" w:color="auto"/>
            </w:tcBorders>
            <w:shd w:val="clear" w:color="auto" w:fill="auto"/>
            <w:vAlign w:val="center"/>
          </w:tcPr>
          <w:p w14:paraId="3A155923"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012" w:type="dxa"/>
            <w:tcBorders>
              <w:top w:val="single" w:sz="4" w:space="0" w:color="auto"/>
              <w:left w:val="nil"/>
              <w:bottom w:val="single" w:sz="8" w:space="0" w:color="auto"/>
              <w:right w:val="single" w:sz="4" w:space="0" w:color="auto"/>
            </w:tcBorders>
            <w:shd w:val="clear" w:color="auto" w:fill="auto"/>
            <w:vAlign w:val="center"/>
          </w:tcPr>
          <w:p w14:paraId="60096EAD"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903" w:type="dxa"/>
            <w:tcBorders>
              <w:top w:val="single" w:sz="4" w:space="0" w:color="auto"/>
              <w:left w:val="nil"/>
              <w:bottom w:val="single" w:sz="8" w:space="0" w:color="auto"/>
              <w:right w:val="single" w:sz="4" w:space="0" w:color="auto"/>
            </w:tcBorders>
            <w:shd w:val="clear" w:color="auto" w:fill="auto"/>
            <w:vAlign w:val="center"/>
          </w:tcPr>
          <w:p w14:paraId="64E7D051"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c>
          <w:tcPr>
            <w:tcW w:w="1183" w:type="dxa"/>
            <w:tcBorders>
              <w:top w:val="single" w:sz="4" w:space="0" w:color="auto"/>
              <w:left w:val="nil"/>
              <w:bottom w:val="single" w:sz="8" w:space="0" w:color="auto"/>
              <w:right w:val="single" w:sz="4" w:space="0" w:color="auto"/>
            </w:tcBorders>
            <w:shd w:val="clear" w:color="auto" w:fill="auto"/>
            <w:vAlign w:val="center"/>
          </w:tcPr>
          <w:p w14:paraId="2C2F9BBA" w14:textId="77777777" w:rsidR="00C75BA1" w:rsidRPr="00C75BA1" w:rsidRDefault="00C75BA1" w:rsidP="00C75BA1">
            <w:pPr>
              <w:autoSpaceDE/>
              <w:autoSpaceDN/>
              <w:adjustRightInd/>
              <w:spacing w:after="0"/>
              <w:jc w:val="right"/>
              <w:rPr>
                <w:rFonts w:eastAsia="Times New Roman" w:cs="Arial"/>
                <w:b/>
                <w:bCs/>
                <w:sz w:val="20"/>
                <w:szCs w:val="20"/>
                <w:lang w:eastAsia="en-GB"/>
              </w:rPr>
            </w:pPr>
          </w:p>
        </w:tc>
      </w:tr>
      <w:tr w:rsidR="00C75BA1" w:rsidRPr="00C75BA1" w14:paraId="43978F98" w14:textId="77777777" w:rsidTr="00C75BA1">
        <w:trPr>
          <w:trHeight w:val="306"/>
        </w:trPr>
        <w:tc>
          <w:tcPr>
            <w:tcW w:w="4346"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6DD99B6E" w14:textId="0C9F964A" w:rsidR="00C75BA1" w:rsidRPr="00C75BA1" w:rsidRDefault="00C75BA1" w:rsidP="00C75BA1">
            <w:pPr>
              <w:autoSpaceDE/>
              <w:autoSpaceDN/>
              <w:adjustRightInd/>
              <w:spacing w:after="0"/>
              <w:jc w:val="left"/>
              <w:rPr>
                <w:rFonts w:eastAsia="Times New Roman" w:cs="Arial"/>
                <w:b/>
                <w:bCs/>
                <w:lang w:eastAsia="en-GB"/>
              </w:rPr>
            </w:pPr>
            <w:r w:rsidRPr="00C75BA1">
              <w:rPr>
                <w:rFonts w:eastAsia="Times New Roman" w:cs="Arial"/>
                <w:b/>
                <w:bCs/>
                <w:lang w:eastAsia="en-GB"/>
              </w:rPr>
              <w:t>Total Growth</w:t>
            </w:r>
            <w:r>
              <w:rPr>
                <w:rFonts w:eastAsia="Times New Roman" w:cs="Arial"/>
                <w:b/>
                <w:bCs/>
                <w:lang w:eastAsia="en-GB"/>
              </w:rPr>
              <w:t>,</w:t>
            </w:r>
            <w:r w:rsidRPr="00C75BA1">
              <w:rPr>
                <w:rFonts w:eastAsia="Times New Roman" w:cs="Arial"/>
                <w:b/>
                <w:bCs/>
                <w:lang w:eastAsia="en-GB"/>
              </w:rPr>
              <w:t xml:space="preserve"> Environment </w:t>
            </w:r>
            <w:r>
              <w:rPr>
                <w:rFonts w:eastAsia="Times New Roman" w:cs="Arial"/>
                <w:b/>
                <w:bCs/>
                <w:lang w:eastAsia="en-GB"/>
              </w:rPr>
              <w:t xml:space="preserve">and </w:t>
            </w:r>
            <w:r w:rsidRPr="00C75BA1">
              <w:rPr>
                <w:rFonts w:eastAsia="Times New Roman" w:cs="Arial"/>
                <w:b/>
                <w:bCs/>
                <w:lang w:eastAsia="en-GB"/>
              </w:rPr>
              <w:t>Transport</w:t>
            </w:r>
          </w:p>
        </w:tc>
        <w:tc>
          <w:tcPr>
            <w:tcW w:w="872" w:type="dxa"/>
            <w:tcBorders>
              <w:top w:val="single" w:sz="4" w:space="0" w:color="auto"/>
              <w:left w:val="nil"/>
              <w:bottom w:val="single" w:sz="8" w:space="0" w:color="auto"/>
              <w:right w:val="single" w:sz="4" w:space="0" w:color="auto"/>
            </w:tcBorders>
            <w:shd w:val="clear" w:color="000000" w:fill="D9D9D9"/>
            <w:vAlign w:val="center"/>
            <w:hideMark/>
          </w:tcPr>
          <w:p w14:paraId="502CACF7"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158.488</w:t>
            </w:r>
          </w:p>
        </w:tc>
        <w:tc>
          <w:tcPr>
            <w:tcW w:w="981" w:type="dxa"/>
            <w:tcBorders>
              <w:top w:val="single" w:sz="4" w:space="0" w:color="auto"/>
              <w:left w:val="nil"/>
              <w:bottom w:val="single" w:sz="8" w:space="0" w:color="auto"/>
              <w:right w:val="single" w:sz="4" w:space="0" w:color="auto"/>
            </w:tcBorders>
            <w:shd w:val="clear" w:color="000000" w:fill="D9D9D9"/>
            <w:vAlign w:val="center"/>
            <w:hideMark/>
          </w:tcPr>
          <w:p w14:paraId="5CF4700C"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156.365</w:t>
            </w:r>
          </w:p>
        </w:tc>
        <w:tc>
          <w:tcPr>
            <w:tcW w:w="1012" w:type="dxa"/>
            <w:tcBorders>
              <w:top w:val="single" w:sz="4" w:space="0" w:color="auto"/>
              <w:left w:val="nil"/>
              <w:bottom w:val="single" w:sz="8" w:space="0" w:color="auto"/>
              <w:right w:val="single" w:sz="4" w:space="0" w:color="auto"/>
            </w:tcBorders>
            <w:shd w:val="clear" w:color="000000" w:fill="D9D9D9"/>
            <w:vAlign w:val="center"/>
            <w:hideMark/>
          </w:tcPr>
          <w:p w14:paraId="287B60EA"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-2.123</w:t>
            </w:r>
          </w:p>
        </w:tc>
        <w:tc>
          <w:tcPr>
            <w:tcW w:w="903" w:type="dxa"/>
            <w:tcBorders>
              <w:top w:val="single" w:sz="4" w:space="0" w:color="auto"/>
              <w:left w:val="nil"/>
              <w:bottom w:val="single" w:sz="8" w:space="0" w:color="auto"/>
              <w:right w:val="single" w:sz="4" w:space="0" w:color="auto"/>
            </w:tcBorders>
            <w:shd w:val="clear" w:color="000000" w:fill="D9D9D9"/>
            <w:vAlign w:val="center"/>
            <w:hideMark/>
          </w:tcPr>
          <w:p w14:paraId="2041C1B5"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-1.34%</w:t>
            </w:r>
          </w:p>
        </w:tc>
        <w:tc>
          <w:tcPr>
            <w:tcW w:w="1183" w:type="dxa"/>
            <w:tcBorders>
              <w:top w:val="single" w:sz="4" w:space="0" w:color="auto"/>
              <w:left w:val="nil"/>
              <w:bottom w:val="single" w:sz="8" w:space="0" w:color="auto"/>
              <w:right w:val="single" w:sz="4" w:space="0" w:color="auto"/>
            </w:tcBorders>
            <w:shd w:val="clear" w:color="000000" w:fill="D9D9D9"/>
            <w:vAlign w:val="center"/>
            <w:hideMark/>
          </w:tcPr>
          <w:p w14:paraId="15B10849"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0.795</w:t>
            </w:r>
          </w:p>
        </w:tc>
      </w:tr>
    </w:tbl>
    <w:p w14:paraId="6CB81AE9" w14:textId="77777777" w:rsidR="000F78F1" w:rsidRPr="000F78F1" w:rsidRDefault="000F78F1" w:rsidP="000F78F1">
      <w:pPr>
        <w:spacing w:after="0"/>
        <w:textAlignment w:val="baseline"/>
        <w:rPr>
          <w:rFonts w:eastAsia="Times New Roman" w:cs="Arial"/>
          <w:lang w:eastAsia="en-GB"/>
        </w:rPr>
      </w:pPr>
    </w:p>
    <w:p w14:paraId="6DED5E6B" w14:textId="483E7A65" w:rsidR="000F78F1" w:rsidRPr="00091583" w:rsidRDefault="000F78F1" w:rsidP="000F78F1">
      <w:pPr>
        <w:spacing w:after="0"/>
        <w:textAlignment w:val="baseline"/>
        <w:rPr>
          <w:rFonts w:eastAsia="Times New Roman" w:cs="Arial"/>
          <w:b/>
          <w:bCs/>
          <w:u w:val="single"/>
          <w:lang w:eastAsia="en-GB"/>
        </w:rPr>
      </w:pPr>
      <w:r w:rsidRPr="00091583">
        <w:rPr>
          <w:rFonts w:eastAsia="Times New Roman" w:cs="Arial"/>
          <w:b/>
          <w:bCs/>
          <w:u w:val="single"/>
          <w:lang w:eastAsia="en-GB"/>
        </w:rPr>
        <w:t xml:space="preserve">Overall Position – Forecast </w:t>
      </w:r>
      <w:r w:rsidR="00091583">
        <w:rPr>
          <w:rFonts w:eastAsia="Times New Roman" w:cs="Arial"/>
          <w:b/>
          <w:bCs/>
          <w:u w:val="single"/>
          <w:lang w:eastAsia="en-GB"/>
        </w:rPr>
        <w:t>under</w:t>
      </w:r>
      <w:r w:rsidRPr="00091583">
        <w:rPr>
          <w:rFonts w:eastAsia="Times New Roman" w:cs="Arial"/>
          <w:b/>
          <w:bCs/>
          <w:u w:val="single"/>
          <w:lang w:eastAsia="en-GB"/>
        </w:rPr>
        <w:t>spend £</w:t>
      </w:r>
      <w:r w:rsidR="00091583">
        <w:rPr>
          <w:rFonts w:eastAsia="Times New Roman" w:cs="Arial"/>
          <w:b/>
          <w:bCs/>
          <w:u w:val="single"/>
          <w:lang w:eastAsia="en-GB"/>
        </w:rPr>
        <w:t>2.123</w:t>
      </w:r>
      <w:r w:rsidRPr="00091583">
        <w:rPr>
          <w:rFonts w:eastAsia="Times New Roman" w:cs="Arial"/>
          <w:b/>
          <w:bCs/>
          <w:u w:val="single"/>
          <w:lang w:eastAsia="en-GB"/>
        </w:rPr>
        <w:t>m</w:t>
      </w:r>
    </w:p>
    <w:p w14:paraId="464C1FCA" w14:textId="44978EF5" w:rsidR="000F78F1" w:rsidRPr="00091583" w:rsidRDefault="000F78F1" w:rsidP="000F78F1">
      <w:pPr>
        <w:spacing w:after="0"/>
        <w:textAlignment w:val="baseline"/>
        <w:rPr>
          <w:rFonts w:eastAsia="Times New Roman" w:cs="Arial"/>
          <w:lang w:eastAsia="en-GB"/>
        </w:rPr>
      </w:pPr>
      <w:r w:rsidRPr="00091583">
        <w:rPr>
          <w:rFonts w:eastAsia="Times New Roman" w:cs="Arial"/>
          <w:lang w:eastAsia="en-GB"/>
        </w:rPr>
        <w:t>The annual budget for Growth, Environmental and Transport D</w:t>
      </w:r>
      <w:r w:rsidR="00091583">
        <w:rPr>
          <w:rFonts w:eastAsia="Times New Roman" w:cs="Arial"/>
          <w:lang w:eastAsia="en-GB"/>
        </w:rPr>
        <w:t xml:space="preserve">irectorate </w:t>
      </w:r>
      <w:r w:rsidRPr="00091583">
        <w:rPr>
          <w:rFonts w:eastAsia="Times New Roman" w:cs="Arial"/>
          <w:lang w:eastAsia="en-GB"/>
        </w:rPr>
        <w:t xml:space="preserve">is £158.488m, the forecast position for 2022/23 as at Quarter </w:t>
      </w:r>
      <w:r w:rsidR="00091583" w:rsidRPr="00091583">
        <w:rPr>
          <w:rFonts w:eastAsia="Times New Roman" w:cs="Arial"/>
          <w:lang w:eastAsia="en-GB"/>
        </w:rPr>
        <w:t>3</w:t>
      </w:r>
      <w:r w:rsidRPr="00091583">
        <w:rPr>
          <w:rFonts w:eastAsia="Times New Roman" w:cs="Arial"/>
          <w:lang w:eastAsia="en-GB"/>
        </w:rPr>
        <w:t xml:space="preserve"> is an </w:t>
      </w:r>
      <w:r w:rsidR="00091583" w:rsidRPr="00091583">
        <w:rPr>
          <w:rFonts w:eastAsia="Times New Roman" w:cs="Arial"/>
          <w:lang w:eastAsia="en-GB"/>
        </w:rPr>
        <w:t>underspend</w:t>
      </w:r>
      <w:r w:rsidRPr="00091583">
        <w:rPr>
          <w:rFonts w:eastAsia="Times New Roman" w:cs="Arial"/>
          <w:lang w:eastAsia="en-GB"/>
        </w:rPr>
        <w:t xml:space="preserve"> of £</w:t>
      </w:r>
      <w:r w:rsidR="00091583" w:rsidRPr="00091583">
        <w:rPr>
          <w:rFonts w:eastAsia="Times New Roman" w:cs="Arial"/>
          <w:lang w:eastAsia="en-GB"/>
        </w:rPr>
        <w:t>2.123</w:t>
      </w:r>
      <w:r w:rsidRPr="00091583">
        <w:rPr>
          <w:rFonts w:eastAsia="Times New Roman" w:cs="Arial"/>
          <w:lang w:eastAsia="en-GB"/>
        </w:rPr>
        <w:t xml:space="preserve">m. </w:t>
      </w:r>
    </w:p>
    <w:p w14:paraId="716C5807" w14:textId="77777777" w:rsidR="000F78F1" w:rsidRPr="00091583" w:rsidRDefault="000F78F1" w:rsidP="000F78F1">
      <w:pPr>
        <w:spacing w:after="0"/>
        <w:textAlignment w:val="baseline"/>
        <w:rPr>
          <w:rFonts w:eastAsia="Times New Roman" w:cs="Arial"/>
          <w:b/>
          <w:bCs/>
          <w:lang w:eastAsia="en-GB"/>
        </w:rPr>
      </w:pPr>
      <w:r w:rsidRPr="00091583">
        <w:rPr>
          <w:rFonts w:eastAsia="Times New Roman" w:cs="Arial"/>
          <w:lang w:eastAsia="en-GB"/>
        </w:rPr>
        <w:t> </w:t>
      </w:r>
    </w:p>
    <w:p w14:paraId="647A07F7" w14:textId="7F540D2F" w:rsidR="000F78F1" w:rsidRPr="00091583" w:rsidRDefault="000F78F1" w:rsidP="000F78F1">
      <w:pPr>
        <w:spacing w:after="0"/>
        <w:textAlignment w:val="baseline"/>
        <w:rPr>
          <w:rFonts w:ascii="Segoe UI" w:eastAsia="Times New Roman" w:hAnsi="Segoe UI" w:cs="Segoe UI"/>
          <w:b/>
          <w:bCs/>
          <w:u w:val="single"/>
          <w:lang w:eastAsia="en-GB"/>
        </w:rPr>
      </w:pPr>
      <w:r w:rsidRPr="00091583">
        <w:rPr>
          <w:rFonts w:eastAsia="Times New Roman" w:cs="Arial"/>
          <w:b/>
          <w:bCs/>
          <w:u w:val="single"/>
          <w:lang w:eastAsia="en-GB"/>
        </w:rPr>
        <w:t xml:space="preserve">Highways and Transport - Forecast </w:t>
      </w:r>
      <w:r w:rsidR="00091583" w:rsidRPr="00091583">
        <w:rPr>
          <w:rFonts w:eastAsia="Times New Roman" w:cs="Arial"/>
          <w:b/>
          <w:bCs/>
          <w:u w:val="single"/>
          <w:lang w:eastAsia="en-GB"/>
        </w:rPr>
        <w:t>under</w:t>
      </w:r>
      <w:r w:rsidRPr="00091583">
        <w:rPr>
          <w:rFonts w:eastAsia="Times New Roman" w:cs="Arial"/>
          <w:b/>
          <w:bCs/>
          <w:u w:val="single"/>
          <w:lang w:eastAsia="en-GB"/>
        </w:rPr>
        <w:t>spend £1.</w:t>
      </w:r>
      <w:r w:rsidR="00091583" w:rsidRPr="00091583">
        <w:rPr>
          <w:rFonts w:eastAsia="Times New Roman" w:cs="Arial"/>
          <w:b/>
          <w:bCs/>
          <w:u w:val="single"/>
          <w:lang w:eastAsia="en-GB"/>
        </w:rPr>
        <w:t>873</w:t>
      </w:r>
      <w:r w:rsidRPr="00091583">
        <w:rPr>
          <w:rFonts w:eastAsia="Times New Roman" w:cs="Arial"/>
          <w:b/>
          <w:bCs/>
          <w:u w:val="single"/>
          <w:lang w:eastAsia="en-GB"/>
        </w:rPr>
        <w:t>m</w:t>
      </w:r>
    </w:p>
    <w:p w14:paraId="38907FA6" w14:textId="112159DD" w:rsidR="000F78F1" w:rsidRPr="00091583" w:rsidRDefault="000F78F1" w:rsidP="000F78F1">
      <w:pPr>
        <w:spacing w:after="0"/>
        <w:textAlignment w:val="baseline"/>
        <w:rPr>
          <w:rFonts w:eastAsia="Times New Roman" w:cs="Arial"/>
          <w:color w:val="FF0000"/>
          <w:lang w:eastAsia="en-GB"/>
        </w:rPr>
      </w:pPr>
      <w:r w:rsidRPr="00091583">
        <w:rPr>
          <w:rFonts w:eastAsia="Times New Roman" w:cs="Arial"/>
          <w:lang w:eastAsia="en-GB"/>
        </w:rPr>
        <w:t xml:space="preserve">The total net approved budget for Highways and Transport in 2022/23 is £146.806m. As at the end of Quarter </w:t>
      </w:r>
      <w:r w:rsidR="00091583" w:rsidRPr="00091583">
        <w:rPr>
          <w:rFonts w:eastAsia="Times New Roman" w:cs="Arial"/>
          <w:lang w:eastAsia="en-GB"/>
        </w:rPr>
        <w:t>3</w:t>
      </w:r>
      <w:r w:rsidRPr="00091583">
        <w:rPr>
          <w:rFonts w:eastAsia="Times New Roman" w:cs="Arial"/>
          <w:lang w:eastAsia="en-GB"/>
        </w:rPr>
        <w:t xml:space="preserve">, the service is forecast to </w:t>
      </w:r>
      <w:r w:rsidR="00091583" w:rsidRPr="00091583">
        <w:rPr>
          <w:rFonts w:eastAsia="Times New Roman" w:cs="Arial"/>
          <w:lang w:eastAsia="en-GB"/>
        </w:rPr>
        <w:t>under</w:t>
      </w:r>
      <w:r w:rsidRPr="00091583">
        <w:rPr>
          <w:rFonts w:eastAsia="Times New Roman" w:cs="Arial"/>
          <w:lang w:eastAsia="en-GB"/>
        </w:rPr>
        <w:t>spend by £1.</w:t>
      </w:r>
      <w:r w:rsidR="00091583" w:rsidRPr="00091583">
        <w:rPr>
          <w:rFonts w:eastAsia="Times New Roman" w:cs="Arial"/>
          <w:lang w:eastAsia="en-GB"/>
        </w:rPr>
        <w:t>873m</w:t>
      </w:r>
      <w:r w:rsidRPr="00091583">
        <w:rPr>
          <w:rFonts w:eastAsia="Times New Roman" w:cs="Arial"/>
          <w:color w:val="FF0000"/>
          <w:lang w:eastAsia="en-GB"/>
        </w:rPr>
        <w:t>.</w:t>
      </w:r>
    </w:p>
    <w:p w14:paraId="1A7DD2E2" w14:textId="77777777" w:rsidR="000F78F1" w:rsidRPr="00C75BA1" w:rsidRDefault="000F78F1" w:rsidP="000F78F1">
      <w:pPr>
        <w:spacing w:after="0"/>
        <w:textAlignment w:val="baseline"/>
        <w:rPr>
          <w:rFonts w:eastAsia="Times New Roman" w:cs="Arial"/>
          <w:color w:val="FF0000"/>
          <w:highlight w:val="yellow"/>
          <w:lang w:eastAsia="en-GB"/>
        </w:rPr>
      </w:pPr>
    </w:p>
    <w:p w14:paraId="25C8C3D6" w14:textId="00A8741F" w:rsidR="00091583" w:rsidRPr="00E12E5B" w:rsidRDefault="00091583" w:rsidP="00091583">
      <w:pPr>
        <w:spacing w:after="0"/>
        <w:contextualSpacing/>
        <w:rPr>
          <w:rFonts w:cs="Arial"/>
          <w:b/>
        </w:rPr>
      </w:pPr>
      <w:r w:rsidRPr="009A7F94">
        <w:rPr>
          <w:rFonts w:cs="Arial"/>
          <w:b/>
        </w:rPr>
        <w:t xml:space="preserve">Waste Management – Forecast </w:t>
      </w:r>
      <w:r>
        <w:rPr>
          <w:rFonts w:cs="Arial"/>
          <w:b/>
        </w:rPr>
        <w:t>und</w:t>
      </w:r>
      <w:r w:rsidRPr="009A7F94">
        <w:rPr>
          <w:rFonts w:cs="Arial"/>
          <w:b/>
        </w:rPr>
        <w:t>erspend £</w:t>
      </w:r>
      <w:r>
        <w:rPr>
          <w:rFonts w:cs="Arial"/>
          <w:b/>
        </w:rPr>
        <w:t>1</w:t>
      </w:r>
      <w:r w:rsidRPr="009A7F94">
        <w:rPr>
          <w:rFonts w:cs="Arial"/>
          <w:b/>
        </w:rPr>
        <w:t>.</w:t>
      </w:r>
      <w:r>
        <w:rPr>
          <w:rFonts w:cs="Arial"/>
          <w:b/>
        </w:rPr>
        <w:t>383</w:t>
      </w:r>
      <w:r w:rsidRPr="009A7F94">
        <w:rPr>
          <w:rFonts w:cs="Arial"/>
          <w:b/>
        </w:rPr>
        <w:t>m</w:t>
      </w:r>
    </w:p>
    <w:p w14:paraId="7FC73B28" w14:textId="1B10204C" w:rsidR="00091583" w:rsidRPr="00CE277D" w:rsidRDefault="00091583" w:rsidP="00091583">
      <w:pPr>
        <w:spacing w:after="0"/>
        <w:contextualSpacing/>
        <w:rPr>
          <w:rFonts w:cs="Arial"/>
          <w:bCs/>
        </w:rPr>
      </w:pPr>
      <w:r w:rsidRPr="00CE277D">
        <w:rPr>
          <w:rFonts w:cs="Arial"/>
          <w:bCs/>
        </w:rPr>
        <w:t xml:space="preserve">The service is currently </w:t>
      </w:r>
      <w:r>
        <w:rPr>
          <w:rFonts w:cs="Arial"/>
          <w:bCs/>
        </w:rPr>
        <w:t>forecast</w:t>
      </w:r>
      <w:r w:rsidRPr="00CE277D">
        <w:rPr>
          <w:rFonts w:cs="Arial"/>
          <w:bCs/>
        </w:rPr>
        <w:t xml:space="preserve"> to overachieve income projections from recyclable materials </w:t>
      </w:r>
      <w:r>
        <w:rPr>
          <w:rFonts w:cs="Arial"/>
          <w:bCs/>
        </w:rPr>
        <w:t>by</w:t>
      </w:r>
      <w:r w:rsidRPr="00CE277D">
        <w:rPr>
          <w:rFonts w:cs="Arial"/>
          <w:bCs/>
        </w:rPr>
        <w:t xml:space="preserve"> as much as £1.</w:t>
      </w:r>
      <w:r>
        <w:rPr>
          <w:rFonts w:cs="Arial"/>
          <w:bCs/>
        </w:rPr>
        <w:t>7</w:t>
      </w:r>
      <w:r w:rsidRPr="00CE277D">
        <w:rPr>
          <w:rFonts w:cs="Arial"/>
          <w:bCs/>
        </w:rPr>
        <w:t xml:space="preserve">00m. Prices are volatile and whilst they remain significantly higher than budgeted for in 2021/22, </w:t>
      </w:r>
      <w:r w:rsidRPr="00E12E5B">
        <w:rPr>
          <w:rFonts w:cs="Arial"/>
          <w:bCs/>
        </w:rPr>
        <w:t>it was uncertain whether they would remain at the same level.</w:t>
      </w:r>
      <w:r>
        <w:rPr>
          <w:rFonts w:cs="Arial"/>
          <w:bCs/>
        </w:rPr>
        <w:t xml:space="preserve">  </w:t>
      </w:r>
      <w:r w:rsidRPr="00CE277D">
        <w:rPr>
          <w:rFonts w:cs="Arial"/>
          <w:bCs/>
        </w:rPr>
        <w:t xml:space="preserve">Consequently, the </w:t>
      </w:r>
      <w:r w:rsidR="00C96B54">
        <w:rPr>
          <w:rFonts w:cs="Arial"/>
          <w:bCs/>
        </w:rPr>
        <w:t>medium term financial strategy</w:t>
      </w:r>
      <w:r w:rsidRPr="00CE277D">
        <w:rPr>
          <w:rFonts w:cs="Arial"/>
          <w:bCs/>
        </w:rPr>
        <w:t xml:space="preserve"> was not adjusted to reflect continued high prices in 2022/23. </w:t>
      </w:r>
      <w:r>
        <w:rPr>
          <w:rFonts w:cs="Arial"/>
          <w:bCs/>
        </w:rPr>
        <w:t xml:space="preserve"> Whilst the market has seen some recent reductions in </w:t>
      </w:r>
      <w:r w:rsidRPr="00CE277D">
        <w:rPr>
          <w:rFonts w:cs="Arial"/>
          <w:bCs/>
        </w:rPr>
        <w:t xml:space="preserve">paper and card prices </w:t>
      </w:r>
      <w:r>
        <w:rPr>
          <w:rFonts w:cs="Arial"/>
          <w:bCs/>
        </w:rPr>
        <w:t>these have not dropped as much as expected at Quarter 2</w:t>
      </w:r>
      <w:r w:rsidR="00915008">
        <w:rPr>
          <w:rFonts w:cs="Arial"/>
          <w:bCs/>
        </w:rPr>
        <w:t>,</w:t>
      </w:r>
      <w:r>
        <w:rPr>
          <w:rFonts w:cs="Arial"/>
          <w:bCs/>
        </w:rPr>
        <w:t xml:space="preserve"> therefore the position has improved by c£750,000.</w:t>
      </w:r>
    </w:p>
    <w:p w14:paraId="1935790D" w14:textId="77777777" w:rsidR="00091583" w:rsidRPr="00CE277D" w:rsidRDefault="00091583" w:rsidP="00091583">
      <w:pPr>
        <w:spacing w:after="0"/>
        <w:contextualSpacing/>
        <w:rPr>
          <w:rFonts w:cs="Arial"/>
          <w:bCs/>
        </w:rPr>
      </w:pPr>
    </w:p>
    <w:p w14:paraId="68D4C41F" w14:textId="2003DB6F" w:rsidR="00091583" w:rsidRDefault="00091583" w:rsidP="00091583">
      <w:pPr>
        <w:spacing w:after="0"/>
        <w:contextualSpacing/>
        <w:rPr>
          <w:rFonts w:cs="Arial"/>
          <w:bCs/>
        </w:rPr>
      </w:pPr>
      <w:r>
        <w:rPr>
          <w:rFonts w:cs="Arial"/>
          <w:bCs/>
        </w:rPr>
        <w:t xml:space="preserve">The cost of waste disposal is forecast to underspend by c£100,000. There are a variety of largely offsetting variances within waste disposal, the most significant change from Quarter 2 relates to issues with the waste drying process to </w:t>
      </w:r>
      <w:r w:rsidR="00413F03">
        <w:rPr>
          <w:rFonts w:cs="Arial"/>
          <w:bCs/>
        </w:rPr>
        <w:t xml:space="preserve">remove moisture </w:t>
      </w:r>
      <w:r w:rsidR="00575984">
        <w:rPr>
          <w:rFonts w:cs="Arial"/>
          <w:bCs/>
        </w:rPr>
        <w:t xml:space="preserve">and </w:t>
      </w:r>
      <w:r>
        <w:rPr>
          <w:rFonts w:cs="Arial"/>
          <w:bCs/>
        </w:rPr>
        <w:t xml:space="preserve">achieve </w:t>
      </w:r>
      <w:r w:rsidR="00575984">
        <w:rPr>
          <w:rFonts w:cs="Arial"/>
          <w:bCs/>
        </w:rPr>
        <w:t>'</w:t>
      </w:r>
      <w:r>
        <w:rPr>
          <w:rFonts w:cs="Arial"/>
          <w:bCs/>
        </w:rPr>
        <w:t>mass loss</w:t>
      </w:r>
      <w:r w:rsidR="00575984">
        <w:rPr>
          <w:rFonts w:cs="Arial"/>
          <w:bCs/>
        </w:rPr>
        <w:t>'</w:t>
      </w:r>
      <w:r>
        <w:rPr>
          <w:rFonts w:cs="Arial"/>
          <w:bCs/>
        </w:rPr>
        <w:t xml:space="preserve"> prior to disposal. </w:t>
      </w:r>
    </w:p>
    <w:p w14:paraId="1B01EA97" w14:textId="43238F73" w:rsidR="002F3CA5" w:rsidRDefault="00091583" w:rsidP="00091583">
      <w:pPr>
        <w:spacing w:after="0"/>
        <w:contextualSpacing/>
        <w:rPr>
          <w:rFonts w:cs="Arial"/>
          <w:bCs/>
        </w:rPr>
      </w:pPr>
      <w:r>
        <w:rPr>
          <w:rFonts w:cs="Arial"/>
          <w:bCs/>
        </w:rPr>
        <w:lastRenderedPageBreak/>
        <w:t xml:space="preserve">The level of mass loss seen in recent months is much reduced and amounts to a reduction of c8,000 tonnes compared to budget which in monetary terms is an additional c£1.000m of waste disposal costs. The intention is to replace equipment used in the process, </w:t>
      </w:r>
      <w:r w:rsidR="004F20A8" w:rsidRPr="004F20A8">
        <w:rPr>
          <w:rFonts w:cs="Arial"/>
          <w:bCs/>
        </w:rPr>
        <w:t>that appears to be impacting on moisture removal</w:t>
      </w:r>
      <w:r w:rsidR="004F0D27">
        <w:rPr>
          <w:rFonts w:cs="Arial"/>
          <w:bCs/>
        </w:rPr>
        <w:t>,</w:t>
      </w:r>
      <w:r w:rsidR="004F20A8" w:rsidRPr="004F20A8">
        <w:rPr>
          <w:rFonts w:cs="Arial"/>
          <w:bCs/>
        </w:rPr>
        <w:t xml:space="preserve"> </w:t>
      </w:r>
      <w:r>
        <w:rPr>
          <w:rFonts w:cs="Arial"/>
          <w:bCs/>
        </w:rPr>
        <w:t xml:space="preserve">however, there is a lead time for replacement equipment, and it is currently expected that replacement will take place towards the end of this financial year or in early 2023/24. The other main factors effecting waste disposal costs remain. </w:t>
      </w:r>
    </w:p>
    <w:p w14:paraId="35FA75F5" w14:textId="77777777" w:rsidR="00B916A1" w:rsidRDefault="00B916A1" w:rsidP="00091583">
      <w:pPr>
        <w:spacing w:after="0"/>
        <w:contextualSpacing/>
        <w:rPr>
          <w:rFonts w:cs="Arial"/>
          <w:bCs/>
        </w:rPr>
      </w:pPr>
    </w:p>
    <w:p w14:paraId="6A003AE2" w14:textId="3BDFDA8B" w:rsidR="00B916A1" w:rsidRDefault="00B916A1" w:rsidP="00091583">
      <w:pPr>
        <w:spacing w:after="0"/>
        <w:contextualSpacing/>
        <w:rPr>
          <w:rFonts w:cs="Arial"/>
          <w:bCs/>
        </w:rPr>
      </w:pPr>
      <w:r w:rsidRPr="00B916A1">
        <w:rPr>
          <w:rFonts w:cs="Arial"/>
          <w:bCs/>
        </w:rPr>
        <w:t>As detailed in previous reports there are reductions in the amounts of waste requiring disposal. This reduction has continued throughout 2022/23 so the current</w:t>
      </w:r>
      <w:r w:rsidR="00563687">
        <w:rPr>
          <w:rFonts w:cs="Arial"/>
          <w:bCs/>
        </w:rPr>
        <w:t xml:space="preserve"> </w:t>
      </w:r>
      <w:r w:rsidRPr="00B916A1">
        <w:rPr>
          <w:rFonts w:cs="Arial"/>
          <w:bCs/>
        </w:rPr>
        <w:t xml:space="preserve">forecast now assumes tonnages will continue to be lower than in 2021/22 for the remainder of the year. This equates to an estimated 18,000 tonnes lower than was assumed when the budget was set. The potential benefits of waste being diverted from landfill (to refuse derived fuel ('RDF')) continue to </w:t>
      </w:r>
      <w:r w:rsidR="002234AA" w:rsidRPr="00B916A1">
        <w:rPr>
          <w:rFonts w:cs="Arial"/>
          <w:bCs/>
        </w:rPr>
        <w:t>be partly</w:t>
      </w:r>
      <w:r w:rsidRPr="00B916A1">
        <w:rPr>
          <w:rFonts w:cs="Arial"/>
          <w:bCs/>
        </w:rPr>
        <w:t xml:space="preserve"> offset by the </w:t>
      </w:r>
      <w:r w:rsidR="00D90279">
        <w:rPr>
          <w:rFonts w:cs="Arial"/>
          <w:bCs/>
        </w:rPr>
        <w:t>refuse derived fuel</w:t>
      </w:r>
      <w:r w:rsidRPr="00B916A1">
        <w:rPr>
          <w:rFonts w:cs="Arial"/>
          <w:bCs/>
        </w:rPr>
        <w:t xml:space="preserve"> costs being higher than originally assumed in the budget </w:t>
      </w:r>
      <w:proofErr w:type="gramStart"/>
      <w:r w:rsidRPr="00B916A1">
        <w:rPr>
          <w:rFonts w:cs="Arial"/>
          <w:bCs/>
        </w:rPr>
        <w:t>and also</w:t>
      </w:r>
      <w:proofErr w:type="gramEnd"/>
      <w:r w:rsidRPr="00B916A1">
        <w:rPr>
          <w:rFonts w:cs="Arial"/>
          <w:bCs/>
        </w:rPr>
        <w:t xml:space="preserve"> because minimum tonnages are built into the landfill contract, meaning the county council is still liable to pay the landfill gate fee. This is currently forecast to equate to for approximately 9,000 tonnes of waste.</w:t>
      </w:r>
    </w:p>
    <w:p w14:paraId="299DB6B7" w14:textId="77777777" w:rsidR="00091583" w:rsidRDefault="00091583" w:rsidP="00091583">
      <w:pPr>
        <w:spacing w:after="0"/>
        <w:contextualSpacing/>
        <w:rPr>
          <w:rFonts w:cs="Arial"/>
          <w:bCs/>
        </w:rPr>
      </w:pPr>
    </w:p>
    <w:p w14:paraId="227762AC" w14:textId="77777777" w:rsidR="00091583" w:rsidRDefault="00091583" w:rsidP="00091583">
      <w:pPr>
        <w:spacing w:after="0"/>
        <w:contextualSpacing/>
        <w:rPr>
          <w:rFonts w:cs="Arial"/>
          <w:bCs/>
        </w:rPr>
      </w:pPr>
      <w:r>
        <w:rPr>
          <w:rFonts w:cs="Arial"/>
          <w:bCs/>
        </w:rPr>
        <w:t>Further forecast overspends of c£600,000 at the household waste recycling centres mostly relate to increased maintenance requirements. Maintenance requirements at each site have been reviewed and the additional work required includes maintenance of skips, bottle banks and cabins and renewal of signs and road markings to ensure sites operate safely.</w:t>
      </w:r>
    </w:p>
    <w:p w14:paraId="5911324E" w14:textId="77777777" w:rsidR="00091583" w:rsidRDefault="00091583" w:rsidP="00091583">
      <w:pPr>
        <w:spacing w:after="0"/>
        <w:contextualSpacing/>
        <w:rPr>
          <w:rFonts w:cs="Arial"/>
          <w:bCs/>
        </w:rPr>
      </w:pPr>
    </w:p>
    <w:p w14:paraId="03C3C1AB" w14:textId="77777777" w:rsidR="00091583" w:rsidRDefault="00091583" w:rsidP="00091583">
      <w:pPr>
        <w:spacing w:after="0"/>
        <w:contextualSpacing/>
        <w:rPr>
          <w:rFonts w:cs="Arial"/>
          <w:bCs/>
        </w:rPr>
      </w:pPr>
      <w:r>
        <w:rPr>
          <w:rFonts w:cs="Arial"/>
          <w:bCs/>
        </w:rPr>
        <w:t xml:space="preserve">There are </w:t>
      </w:r>
      <w:proofErr w:type="gramStart"/>
      <w:r>
        <w:rPr>
          <w:rFonts w:cs="Arial"/>
          <w:bCs/>
        </w:rPr>
        <w:t>a number of</w:t>
      </w:r>
      <w:proofErr w:type="gramEnd"/>
      <w:r>
        <w:rPr>
          <w:rFonts w:cs="Arial"/>
          <w:bCs/>
        </w:rPr>
        <w:t xml:space="preserve"> other smaller offsetting variances across the service including overspends on the waste company operating costs due to increases in utility prices offset by underspends on green waste and legal costs.</w:t>
      </w:r>
    </w:p>
    <w:p w14:paraId="4ED98959" w14:textId="64C4908D" w:rsidR="000F78F1" w:rsidRPr="008C0B2C" w:rsidRDefault="000F78F1" w:rsidP="000F78F1">
      <w:pPr>
        <w:spacing w:after="0"/>
        <w:textAlignment w:val="baseline"/>
        <w:rPr>
          <w:rFonts w:eastAsia="Times New Roman" w:cs="Arial"/>
          <w:color w:val="FF0000"/>
          <w:lang w:eastAsia="en-GB"/>
        </w:rPr>
      </w:pPr>
    </w:p>
    <w:p w14:paraId="21D9B5A3" w14:textId="77777777" w:rsidR="008C0B2C" w:rsidRPr="002D2AB3" w:rsidRDefault="008C0B2C" w:rsidP="008C0B2C">
      <w:pPr>
        <w:spacing w:after="0"/>
        <w:contextualSpacing/>
        <w:rPr>
          <w:rFonts w:cs="Arial"/>
          <w:b/>
        </w:rPr>
      </w:pPr>
      <w:r w:rsidRPr="002D2AB3">
        <w:rPr>
          <w:rFonts w:cs="Arial"/>
          <w:b/>
        </w:rPr>
        <w:t xml:space="preserve">Highways – </w:t>
      </w:r>
      <w:r>
        <w:rPr>
          <w:rFonts w:cs="Arial"/>
          <w:b/>
        </w:rPr>
        <w:t>Forecast Underspend £3.011m</w:t>
      </w:r>
    </w:p>
    <w:p w14:paraId="3819E883" w14:textId="77777777" w:rsidR="008C0B2C" w:rsidRDefault="008C0B2C" w:rsidP="008C0B2C">
      <w:pPr>
        <w:spacing w:after="0"/>
        <w:contextualSpacing/>
        <w:rPr>
          <w:rFonts w:cs="Arial"/>
          <w:b/>
          <w:color w:val="FF0000"/>
        </w:rPr>
      </w:pPr>
    </w:p>
    <w:p w14:paraId="54F9A934" w14:textId="21A87AE2" w:rsidR="008C0B2C" w:rsidRDefault="008C0B2C" w:rsidP="008C0B2C">
      <w:pPr>
        <w:spacing w:after="0"/>
        <w:contextualSpacing/>
        <w:rPr>
          <w:rFonts w:cs="Arial"/>
          <w:bCs/>
        </w:rPr>
      </w:pPr>
      <w:r w:rsidRPr="00094C1E">
        <w:rPr>
          <w:rFonts w:cs="Arial"/>
          <w:bCs/>
        </w:rPr>
        <w:t xml:space="preserve">A review </w:t>
      </w:r>
      <w:r>
        <w:rPr>
          <w:rFonts w:cs="Arial"/>
          <w:bCs/>
        </w:rPr>
        <w:t xml:space="preserve">undertaken </w:t>
      </w:r>
      <w:r w:rsidRPr="00094C1E">
        <w:rPr>
          <w:rFonts w:cs="Arial"/>
          <w:bCs/>
        </w:rPr>
        <w:t xml:space="preserve">shows a large forecast under recovery of income on parking and bus lane enforcement. Options to increase pay and display charging in high volume areas continue to be explored as a previously agreed saving is still to be delivered. The bus lane enforcement income shortfall is due to </w:t>
      </w:r>
      <w:r w:rsidR="00F932FD">
        <w:rPr>
          <w:rFonts w:cs="Arial"/>
          <w:bCs/>
        </w:rPr>
        <w:t>fewer</w:t>
      </w:r>
      <w:r w:rsidR="00F932FD" w:rsidRPr="00094C1E">
        <w:rPr>
          <w:rFonts w:cs="Arial"/>
          <w:bCs/>
        </w:rPr>
        <w:t xml:space="preserve"> </w:t>
      </w:r>
      <w:r w:rsidRPr="00094C1E">
        <w:rPr>
          <w:rFonts w:cs="Arial"/>
          <w:bCs/>
        </w:rPr>
        <w:t xml:space="preserve">people </w:t>
      </w:r>
      <w:r w:rsidR="004E55DA">
        <w:rPr>
          <w:rFonts w:cs="Arial"/>
          <w:bCs/>
        </w:rPr>
        <w:t xml:space="preserve">contravening </w:t>
      </w:r>
      <w:r w:rsidRPr="000F78F1">
        <w:rPr>
          <w:rFonts w:eastAsia="Times New Roman" w:cs="Arial"/>
          <w:lang w:eastAsia="en-GB"/>
        </w:rPr>
        <w:t>bus lanes</w:t>
      </w:r>
      <w:r w:rsidR="004E55DA">
        <w:rPr>
          <w:rFonts w:eastAsia="Times New Roman" w:cs="Arial"/>
          <w:lang w:eastAsia="en-GB"/>
        </w:rPr>
        <w:t xml:space="preserve"> thereby triggering a fine</w:t>
      </w:r>
      <w:r w:rsidRPr="000F78F1">
        <w:rPr>
          <w:rFonts w:eastAsia="Times New Roman" w:cs="Arial"/>
          <w:lang w:eastAsia="en-GB"/>
        </w:rPr>
        <w:t>, as the bus lane restrictions have now been in place for a longer amount of time and awareness has increased</w:t>
      </w:r>
      <w:r>
        <w:rPr>
          <w:rFonts w:eastAsia="Times New Roman" w:cs="Arial"/>
          <w:lang w:eastAsia="en-GB"/>
        </w:rPr>
        <w:t xml:space="preserve">. </w:t>
      </w:r>
      <w:r w:rsidRPr="00094C1E">
        <w:rPr>
          <w:rFonts w:cs="Arial"/>
          <w:bCs/>
        </w:rPr>
        <w:t xml:space="preserve">However, this is more than offset by expected over recovery of income from both utility companies and housing developers, </w:t>
      </w:r>
      <w:r>
        <w:rPr>
          <w:rFonts w:cs="Arial"/>
          <w:bCs/>
        </w:rPr>
        <w:t xml:space="preserve">with increased </w:t>
      </w:r>
      <w:r w:rsidRPr="00094C1E">
        <w:rPr>
          <w:rFonts w:cs="Arial"/>
          <w:bCs/>
        </w:rPr>
        <w:t>level</w:t>
      </w:r>
      <w:r>
        <w:rPr>
          <w:rFonts w:cs="Arial"/>
          <w:bCs/>
        </w:rPr>
        <w:t>s</w:t>
      </w:r>
      <w:r w:rsidRPr="00094C1E">
        <w:rPr>
          <w:rFonts w:cs="Arial"/>
          <w:bCs/>
        </w:rPr>
        <w:t xml:space="preserve"> of income</w:t>
      </w:r>
      <w:r>
        <w:rPr>
          <w:rFonts w:cs="Arial"/>
          <w:bCs/>
        </w:rPr>
        <w:t xml:space="preserve"> being</w:t>
      </w:r>
      <w:r w:rsidRPr="00094C1E">
        <w:rPr>
          <w:rFonts w:cs="Arial"/>
          <w:bCs/>
        </w:rPr>
        <w:t xml:space="preserve"> one of the main reasons for the improved position</w:t>
      </w:r>
      <w:r>
        <w:rPr>
          <w:rFonts w:cs="Arial"/>
          <w:bCs/>
        </w:rPr>
        <w:t xml:space="preserve"> compared to Quarter 2</w:t>
      </w:r>
      <w:r w:rsidRPr="00094C1E">
        <w:rPr>
          <w:rFonts w:cs="Arial"/>
          <w:bCs/>
        </w:rPr>
        <w:t>.</w:t>
      </w:r>
      <w:r>
        <w:rPr>
          <w:rFonts w:cs="Arial"/>
          <w:bCs/>
        </w:rPr>
        <w:t xml:space="preserve">  </w:t>
      </w:r>
    </w:p>
    <w:p w14:paraId="08DD11E7" w14:textId="77777777" w:rsidR="008C0B2C" w:rsidRDefault="008C0B2C" w:rsidP="008C0B2C">
      <w:pPr>
        <w:spacing w:after="0"/>
        <w:contextualSpacing/>
        <w:rPr>
          <w:rFonts w:cs="Arial"/>
          <w:bCs/>
        </w:rPr>
      </w:pPr>
    </w:p>
    <w:p w14:paraId="24046E83" w14:textId="66CBDDD3" w:rsidR="008C0B2C" w:rsidRDefault="008C0B2C" w:rsidP="008C0B2C">
      <w:pPr>
        <w:spacing w:after="0"/>
        <w:contextualSpacing/>
        <w:rPr>
          <w:rFonts w:cs="Arial"/>
        </w:rPr>
      </w:pPr>
      <w:r>
        <w:rPr>
          <w:rFonts w:cs="Arial"/>
        </w:rPr>
        <w:t>Further underspends of c£700,000 relate to overhead charges for capital works. These charges are based on the value of work delivered</w:t>
      </w:r>
      <w:r w:rsidR="004E537B">
        <w:rPr>
          <w:rFonts w:cs="Arial"/>
        </w:rPr>
        <w:t>,</w:t>
      </w:r>
      <w:r>
        <w:rPr>
          <w:rFonts w:cs="Arial"/>
        </w:rPr>
        <w:t xml:space="preserve"> which in 2022/23 is expected to be greater than assumed when the budget was set.</w:t>
      </w:r>
    </w:p>
    <w:p w14:paraId="591055C7" w14:textId="77777777" w:rsidR="008C0B2C" w:rsidRPr="00094C1E" w:rsidRDefault="008C0B2C" w:rsidP="008C0B2C">
      <w:pPr>
        <w:spacing w:after="0"/>
        <w:contextualSpacing/>
        <w:rPr>
          <w:rFonts w:cs="Arial"/>
          <w:bCs/>
        </w:rPr>
      </w:pPr>
    </w:p>
    <w:p w14:paraId="50C7C7ED" w14:textId="1084677A" w:rsidR="008C0B2C" w:rsidRDefault="008C0B2C" w:rsidP="008C0B2C">
      <w:pPr>
        <w:spacing w:after="0"/>
        <w:contextualSpacing/>
        <w:rPr>
          <w:rFonts w:cs="Arial"/>
          <w:bCs/>
        </w:rPr>
      </w:pPr>
      <w:r>
        <w:rPr>
          <w:rFonts w:cs="Arial"/>
          <w:bCs/>
        </w:rPr>
        <w:t xml:space="preserve">These income streams are demand led and will be kept under review for the remainder of the year. The remainder of the forecast underspend predominantly relates to staffing.  Whilst the forecast reflects the higher than budgeted pay award, this is more than offset by underspends across the service. However, some of this may be non-recurrent as it is due to difficulties in recruiting staff following a restructure. </w:t>
      </w:r>
    </w:p>
    <w:p w14:paraId="1B4DBC58" w14:textId="77777777" w:rsidR="008C0B2C" w:rsidRDefault="008C0B2C" w:rsidP="008C0B2C">
      <w:pPr>
        <w:spacing w:after="0"/>
        <w:contextualSpacing/>
        <w:rPr>
          <w:rFonts w:cs="Arial"/>
          <w:bCs/>
        </w:rPr>
      </w:pPr>
    </w:p>
    <w:p w14:paraId="103F4F5E" w14:textId="77777777" w:rsidR="008C0B2C" w:rsidRDefault="008C0B2C" w:rsidP="008C0B2C">
      <w:pPr>
        <w:spacing w:after="0"/>
        <w:contextualSpacing/>
        <w:rPr>
          <w:rFonts w:cs="Arial"/>
          <w:bCs/>
        </w:rPr>
      </w:pPr>
      <w:r>
        <w:rPr>
          <w:rFonts w:cs="Arial"/>
          <w:bCs/>
        </w:rPr>
        <w:t xml:space="preserve">There are </w:t>
      </w:r>
      <w:proofErr w:type="gramStart"/>
      <w:r>
        <w:rPr>
          <w:rFonts w:cs="Arial"/>
          <w:bCs/>
        </w:rPr>
        <w:t>a number of</w:t>
      </w:r>
      <w:proofErr w:type="gramEnd"/>
      <w:r>
        <w:rPr>
          <w:rFonts w:cs="Arial"/>
          <w:bCs/>
        </w:rPr>
        <w:t xml:space="preserve"> other largely offsetting smaller variances across the service the most significant of which are forecast underspends relating to public realm agreements offset by overspends relating to traffic signals maintenance.</w:t>
      </w:r>
    </w:p>
    <w:p w14:paraId="510707B8" w14:textId="77777777" w:rsidR="000F78F1" w:rsidRPr="007C5FDC" w:rsidRDefault="000F78F1" w:rsidP="000F78F1">
      <w:pPr>
        <w:spacing w:after="0"/>
        <w:contextualSpacing/>
        <w:rPr>
          <w:rFonts w:cs="Arial"/>
          <w:bCs/>
        </w:rPr>
      </w:pPr>
    </w:p>
    <w:p w14:paraId="15BFEFBE" w14:textId="05FE41CC" w:rsidR="000F78F1" w:rsidRPr="007C5FDC" w:rsidRDefault="000F78F1" w:rsidP="000F78F1">
      <w:pPr>
        <w:spacing w:after="0"/>
        <w:textAlignment w:val="baseline"/>
        <w:rPr>
          <w:rFonts w:ascii="Segoe UI" w:eastAsia="Times New Roman" w:hAnsi="Segoe UI" w:cs="Segoe UI"/>
          <w:sz w:val="18"/>
          <w:szCs w:val="18"/>
          <w:lang w:eastAsia="en-GB"/>
        </w:rPr>
      </w:pPr>
      <w:r w:rsidRPr="007C5FDC">
        <w:rPr>
          <w:rFonts w:eastAsia="Times New Roman" w:cs="Arial"/>
          <w:b/>
          <w:bCs/>
          <w:lang w:eastAsia="en-GB"/>
        </w:rPr>
        <w:t>Public and Integrated Transport – Forecast underspend £0.</w:t>
      </w:r>
      <w:r w:rsidR="007C5FDC">
        <w:rPr>
          <w:rFonts w:eastAsia="Times New Roman" w:cs="Arial"/>
          <w:b/>
          <w:bCs/>
          <w:lang w:eastAsia="en-GB"/>
        </w:rPr>
        <w:t>340</w:t>
      </w:r>
      <w:r w:rsidRPr="007C5FDC">
        <w:rPr>
          <w:rFonts w:eastAsia="Times New Roman" w:cs="Arial"/>
          <w:b/>
          <w:bCs/>
          <w:lang w:eastAsia="en-GB"/>
        </w:rPr>
        <w:t>m</w:t>
      </w:r>
      <w:r w:rsidRPr="007C5FDC">
        <w:rPr>
          <w:rFonts w:eastAsia="Times New Roman" w:cs="Arial"/>
          <w:lang w:eastAsia="en-GB"/>
        </w:rPr>
        <w:t>  </w:t>
      </w:r>
    </w:p>
    <w:p w14:paraId="597B3B3A" w14:textId="3A27F119" w:rsidR="007C5FDC" w:rsidRPr="007C5FDC" w:rsidRDefault="007C5FDC" w:rsidP="007C5FDC">
      <w:pPr>
        <w:spacing w:after="0"/>
        <w:textAlignment w:val="baseline"/>
        <w:rPr>
          <w:rFonts w:eastAsia="Times New Roman" w:cs="Arial"/>
          <w:shd w:val="clear" w:color="auto" w:fill="FFFFFF"/>
          <w:lang w:eastAsia="en-GB"/>
        </w:rPr>
      </w:pPr>
      <w:r w:rsidRPr="007C5FDC">
        <w:rPr>
          <w:rFonts w:eastAsia="Times New Roman" w:cs="Arial"/>
          <w:shd w:val="clear" w:color="auto" w:fill="FFFFFF"/>
          <w:lang w:eastAsia="en-GB"/>
        </w:rPr>
        <w:t>There are several uncertainties within the service</w:t>
      </w:r>
      <w:r w:rsidR="00EC5F84">
        <w:rPr>
          <w:rFonts w:eastAsia="Times New Roman" w:cs="Arial"/>
          <w:shd w:val="clear" w:color="auto" w:fill="FFFFFF"/>
          <w:lang w:eastAsia="en-GB"/>
        </w:rPr>
        <w:t>,</w:t>
      </w:r>
      <w:r w:rsidRPr="007C5FDC">
        <w:rPr>
          <w:rFonts w:eastAsia="Times New Roman" w:cs="Arial"/>
          <w:shd w:val="clear" w:color="auto" w:fill="FFFFFF"/>
          <w:lang w:eastAsia="en-GB"/>
        </w:rPr>
        <w:t xml:space="preserve"> the most significant being within home to school transport where c£1.800m of reprofiled savings are budgeted to be delivered in 2022/23 and increased fuel costs have impacted on the cost of taxi and school bus contracts.</w:t>
      </w:r>
      <w:r w:rsidR="0029193A">
        <w:rPr>
          <w:rFonts w:eastAsia="Times New Roman" w:cs="Arial"/>
          <w:shd w:val="clear" w:color="auto" w:fill="FFFFFF"/>
          <w:lang w:eastAsia="en-GB"/>
        </w:rPr>
        <w:t xml:space="preserve"> </w:t>
      </w:r>
      <w:r w:rsidRPr="007C5FDC">
        <w:rPr>
          <w:rFonts w:eastAsia="Times New Roman" w:cs="Arial"/>
          <w:shd w:val="clear" w:color="auto" w:fill="FFFFFF"/>
          <w:lang w:eastAsia="en-GB"/>
        </w:rPr>
        <w:t>Increased costs are forecast to be c£2.500m however a provision was made at the end of 2021/22 to cover the risk of increasing fuel prices</w:t>
      </w:r>
      <w:r w:rsidR="00234692">
        <w:rPr>
          <w:rFonts w:eastAsia="Times New Roman" w:cs="Arial"/>
          <w:shd w:val="clear" w:color="auto" w:fill="FFFFFF"/>
          <w:lang w:eastAsia="en-GB"/>
        </w:rPr>
        <w:t>,</w:t>
      </w:r>
      <w:r w:rsidRPr="007C5FDC">
        <w:rPr>
          <w:rFonts w:eastAsia="Times New Roman" w:cs="Arial"/>
          <w:shd w:val="clear" w:color="auto" w:fill="FFFFFF"/>
          <w:lang w:eastAsia="en-GB"/>
        </w:rPr>
        <w:t xml:space="preserve"> and as such no significant variance is currently reported. The exception to this is for the impact of the increase in the foundation living wage from November which is forecast to result in additional costs of c£200,000 for drivers and passenger assistants.</w:t>
      </w:r>
    </w:p>
    <w:p w14:paraId="679C078B" w14:textId="77777777" w:rsidR="007C5FDC" w:rsidRPr="007C5FDC" w:rsidRDefault="007C5FDC" w:rsidP="007C5FDC">
      <w:pPr>
        <w:spacing w:after="0"/>
        <w:textAlignment w:val="baseline"/>
        <w:rPr>
          <w:rFonts w:eastAsia="Times New Roman" w:cs="Arial"/>
          <w:shd w:val="clear" w:color="auto" w:fill="FFFFFF"/>
          <w:lang w:eastAsia="en-GB"/>
        </w:rPr>
      </w:pPr>
    </w:p>
    <w:p w14:paraId="67DA59C7" w14:textId="0B1110DD" w:rsidR="007C5FDC" w:rsidRPr="007C5FDC" w:rsidRDefault="007C5FDC" w:rsidP="007C5FDC">
      <w:pPr>
        <w:spacing w:after="0"/>
        <w:textAlignment w:val="baseline"/>
        <w:rPr>
          <w:rFonts w:eastAsia="Times New Roman" w:cs="Arial"/>
          <w:shd w:val="clear" w:color="auto" w:fill="FFFFFF"/>
          <w:lang w:eastAsia="en-GB"/>
        </w:rPr>
      </w:pPr>
      <w:r w:rsidRPr="007C5FDC">
        <w:rPr>
          <w:rFonts w:eastAsia="Times New Roman" w:cs="Arial"/>
          <w:shd w:val="clear" w:color="auto" w:fill="FFFFFF"/>
          <w:lang w:eastAsia="en-GB"/>
        </w:rPr>
        <w:t>A further area of uncertainty is concessionary travel passenger numbers. Throughout the pandemic concessionary passenger numbers fell significantly and have been slower to increase than fare paying passenger numbers.  Based on data so far in 2022/23 concessionary passengers are 80%-85% of numbers before the pandemic. In the past 2 years the county council reimbursed operators based on pre-pandemic passenger numbers.  Government advice has been subject to change in this area, but the latest guidance suggests either continuing to pay at pre-pandemic levels or tapering down support, but that if support is reduced the saving is used to fund additional bus services. The forecast is based on continuing to reimburse operators at pre-pandemic levels for the first 4 months of the financial year</w:t>
      </w:r>
      <w:r w:rsidR="006D2097">
        <w:rPr>
          <w:rFonts w:eastAsia="Times New Roman" w:cs="Arial"/>
          <w:shd w:val="clear" w:color="auto" w:fill="FFFFFF"/>
          <w:lang w:eastAsia="en-GB"/>
        </w:rPr>
        <w:t>,</w:t>
      </w:r>
      <w:r w:rsidRPr="007C5FDC">
        <w:rPr>
          <w:rFonts w:eastAsia="Times New Roman" w:cs="Arial"/>
          <w:shd w:val="clear" w:color="auto" w:fill="FFFFFF"/>
          <w:lang w:eastAsia="en-GB"/>
        </w:rPr>
        <w:t xml:space="preserve"> dropping to 90% (or on actuals if they grow to more than 90%) for the remainder of the year. The impact of this is a revenue underspend of c£1.500m and a transfer to reserves of c£1.000m to fund future spend on additional bus services.</w:t>
      </w:r>
    </w:p>
    <w:p w14:paraId="3EB311EB" w14:textId="77777777" w:rsidR="007C5FDC" w:rsidRPr="007C5FDC" w:rsidRDefault="007C5FDC" w:rsidP="007C5FDC">
      <w:pPr>
        <w:spacing w:after="0"/>
        <w:textAlignment w:val="baseline"/>
        <w:rPr>
          <w:rFonts w:eastAsia="Times New Roman" w:cs="Arial"/>
          <w:shd w:val="clear" w:color="auto" w:fill="FFFFFF"/>
          <w:lang w:eastAsia="en-GB"/>
        </w:rPr>
      </w:pPr>
    </w:p>
    <w:p w14:paraId="76C32A0D" w14:textId="085A6AF5" w:rsidR="007C5FDC" w:rsidRPr="007C5FDC" w:rsidRDefault="007C5FDC" w:rsidP="007C5FDC">
      <w:pPr>
        <w:spacing w:after="0"/>
        <w:textAlignment w:val="baseline"/>
        <w:rPr>
          <w:rFonts w:eastAsia="Times New Roman" w:cs="Arial"/>
          <w:shd w:val="clear" w:color="auto" w:fill="FFFFFF"/>
          <w:lang w:eastAsia="en-GB"/>
        </w:rPr>
      </w:pPr>
      <w:r w:rsidRPr="007C5FDC">
        <w:rPr>
          <w:rFonts w:eastAsia="Times New Roman" w:cs="Arial"/>
          <w:shd w:val="clear" w:color="auto" w:fill="FFFFFF"/>
          <w:lang w:eastAsia="en-GB"/>
        </w:rPr>
        <w:t>Fleet services is forecast to overspend by c£600,000 predominantly due to reduced income.  Other factors impacting the service include a reduction in values of external work expected and an accounting change</w:t>
      </w:r>
      <w:r w:rsidR="00E0444D">
        <w:rPr>
          <w:rFonts w:eastAsia="Times New Roman" w:cs="Arial"/>
          <w:shd w:val="clear" w:color="auto" w:fill="FFFFFF"/>
          <w:lang w:eastAsia="en-GB"/>
        </w:rPr>
        <w:t>,</w:t>
      </w:r>
      <w:r w:rsidRPr="007C5FDC">
        <w:rPr>
          <w:rFonts w:eastAsia="Times New Roman" w:cs="Arial"/>
          <w:shd w:val="clear" w:color="auto" w:fill="FFFFFF"/>
          <w:lang w:eastAsia="en-GB"/>
        </w:rPr>
        <w:t xml:space="preserve"> whereby any receipts for vehicle sales over £10,000 are reported as capital receipts</w:t>
      </w:r>
      <w:r w:rsidR="00EA719F">
        <w:rPr>
          <w:rFonts w:eastAsia="Times New Roman" w:cs="Arial"/>
          <w:shd w:val="clear" w:color="auto" w:fill="FFFFFF"/>
          <w:lang w:eastAsia="en-GB"/>
        </w:rPr>
        <w:t>,</w:t>
      </w:r>
      <w:r w:rsidRPr="007C5FDC">
        <w:rPr>
          <w:rFonts w:eastAsia="Times New Roman" w:cs="Arial"/>
          <w:shd w:val="clear" w:color="auto" w:fill="FFFFFF"/>
          <w:lang w:eastAsia="en-GB"/>
        </w:rPr>
        <w:t xml:space="preserve"> in line with accounting rules</w:t>
      </w:r>
      <w:r w:rsidR="00EA719F">
        <w:rPr>
          <w:rFonts w:eastAsia="Times New Roman" w:cs="Arial"/>
          <w:shd w:val="clear" w:color="auto" w:fill="FFFFFF"/>
          <w:lang w:eastAsia="en-GB"/>
        </w:rPr>
        <w:t>,</w:t>
      </w:r>
      <w:r w:rsidRPr="007C5FDC">
        <w:rPr>
          <w:rFonts w:eastAsia="Times New Roman" w:cs="Arial"/>
          <w:shd w:val="clear" w:color="auto" w:fill="FFFFFF"/>
          <w:lang w:eastAsia="en-GB"/>
        </w:rPr>
        <w:t xml:space="preserve"> whereas previously they were treated as revenue receipts in the Fleet Services budget. The latter is expected to result in overspends of c£200,000 and has been adjusted for in the </w:t>
      </w:r>
      <w:r w:rsidR="000A5D31">
        <w:rPr>
          <w:rFonts w:eastAsia="Times New Roman" w:cs="Arial"/>
          <w:shd w:val="clear" w:color="auto" w:fill="FFFFFF"/>
          <w:lang w:eastAsia="en-GB"/>
        </w:rPr>
        <w:t>medium term financial strategy</w:t>
      </w:r>
      <w:r w:rsidRPr="007C5FDC">
        <w:rPr>
          <w:rFonts w:eastAsia="Times New Roman" w:cs="Arial"/>
          <w:shd w:val="clear" w:color="auto" w:fill="FFFFFF"/>
          <w:lang w:eastAsia="en-GB"/>
        </w:rPr>
        <w:t xml:space="preserve"> at </w:t>
      </w:r>
      <w:r w:rsidR="00C06EEB">
        <w:rPr>
          <w:rFonts w:eastAsia="Times New Roman" w:cs="Arial"/>
          <w:shd w:val="clear" w:color="auto" w:fill="FFFFFF"/>
          <w:lang w:eastAsia="en-GB"/>
        </w:rPr>
        <w:t>Q</w:t>
      </w:r>
      <w:r w:rsidRPr="007C5FDC">
        <w:rPr>
          <w:rFonts w:eastAsia="Times New Roman" w:cs="Arial"/>
          <w:shd w:val="clear" w:color="auto" w:fill="FFFFFF"/>
          <w:lang w:eastAsia="en-GB"/>
        </w:rPr>
        <w:t>uarter 1.</w:t>
      </w:r>
    </w:p>
    <w:p w14:paraId="38313214" w14:textId="77777777" w:rsidR="007C5FDC" w:rsidRPr="007C5FDC" w:rsidRDefault="007C5FDC" w:rsidP="007C5FDC">
      <w:pPr>
        <w:spacing w:after="0"/>
        <w:textAlignment w:val="baseline"/>
        <w:rPr>
          <w:rFonts w:eastAsia="Times New Roman" w:cs="Arial"/>
          <w:shd w:val="clear" w:color="auto" w:fill="FFFFFF"/>
          <w:lang w:eastAsia="en-GB"/>
        </w:rPr>
      </w:pPr>
    </w:p>
    <w:p w14:paraId="525AFEC2" w14:textId="77777777" w:rsidR="007C5FDC" w:rsidRPr="007C5FDC" w:rsidRDefault="007C5FDC" w:rsidP="007C5FDC">
      <w:pPr>
        <w:spacing w:after="0"/>
        <w:textAlignment w:val="baseline"/>
        <w:rPr>
          <w:rFonts w:eastAsia="Times New Roman" w:cs="Arial"/>
          <w:shd w:val="clear" w:color="auto" w:fill="FFFFFF"/>
          <w:lang w:eastAsia="en-GB"/>
        </w:rPr>
      </w:pPr>
      <w:r w:rsidRPr="007C5FDC">
        <w:rPr>
          <w:rFonts w:eastAsia="Times New Roman" w:cs="Arial"/>
          <w:shd w:val="clear" w:color="auto" w:fill="FFFFFF"/>
          <w:lang w:eastAsia="en-GB"/>
        </w:rPr>
        <w:t>Bus stations are expected to overspend by c£400,000 due to departure charges not increasing in 2022/23 (and in previous years), although the impact of this could be mitigated by increases in numbers of departures and will be monitored throughout the year.</w:t>
      </w:r>
    </w:p>
    <w:p w14:paraId="14929CE4" w14:textId="77777777" w:rsidR="007C5FDC" w:rsidRPr="00FE1C72" w:rsidRDefault="007C5FDC" w:rsidP="007C5FDC">
      <w:pPr>
        <w:spacing w:after="0"/>
        <w:textAlignment w:val="baseline"/>
        <w:rPr>
          <w:rFonts w:eastAsia="Times New Roman" w:cs="Arial"/>
          <w:lang w:eastAsia="en-GB"/>
        </w:rPr>
      </w:pPr>
    </w:p>
    <w:p w14:paraId="48C422C2" w14:textId="5815916F" w:rsidR="000F78F1" w:rsidRPr="00FE1C72" w:rsidRDefault="000F78F1" w:rsidP="000F78F1">
      <w:pPr>
        <w:spacing w:after="0"/>
        <w:textAlignment w:val="baseline"/>
        <w:rPr>
          <w:rFonts w:ascii="Segoe UI" w:eastAsia="Times New Roman" w:hAnsi="Segoe UI" w:cs="Segoe UI"/>
          <w:sz w:val="18"/>
          <w:szCs w:val="18"/>
          <w:lang w:eastAsia="en-GB"/>
        </w:rPr>
      </w:pPr>
      <w:r w:rsidRPr="00FE1C72">
        <w:rPr>
          <w:rFonts w:eastAsia="Times New Roman" w:cs="Arial"/>
          <w:b/>
          <w:bCs/>
          <w:lang w:eastAsia="en-GB"/>
        </w:rPr>
        <w:t>Design and Construction – Forecast overspend £</w:t>
      </w:r>
      <w:r w:rsidR="00FE1C72" w:rsidRPr="00FE1C72">
        <w:rPr>
          <w:rFonts w:eastAsia="Times New Roman" w:cs="Arial"/>
          <w:b/>
          <w:bCs/>
          <w:lang w:eastAsia="en-GB"/>
        </w:rPr>
        <w:t>2.552</w:t>
      </w:r>
      <w:r w:rsidRPr="00FE1C72">
        <w:rPr>
          <w:rFonts w:eastAsia="Times New Roman" w:cs="Arial"/>
          <w:b/>
          <w:bCs/>
          <w:lang w:eastAsia="en-GB"/>
        </w:rPr>
        <w:t>m</w:t>
      </w:r>
      <w:r w:rsidRPr="00FE1C72">
        <w:rPr>
          <w:rFonts w:eastAsia="Times New Roman" w:cs="Arial"/>
          <w:lang w:eastAsia="en-GB"/>
        </w:rPr>
        <w:t>  </w:t>
      </w:r>
    </w:p>
    <w:p w14:paraId="0D3CE1A2" w14:textId="58E01EF6" w:rsidR="00FE1C72" w:rsidRPr="00FE1C72" w:rsidRDefault="00FE1C72" w:rsidP="00FE1C72">
      <w:pPr>
        <w:spacing w:after="0"/>
        <w:textAlignment w:val="baseline"/>
        <w:rPr>
          <w:rFonts w:eastAsia="Times New Roman" w:cs="Arial"/>
          <w:shd w:val="clear" w:color="auto" w:fill="FFFFFF"/>
          <w:lang w:eastAsia="en-GB"/>
        </w:rPr>
      </w:pPr>
      <w:r w:rsidRPr="00FE1C72">
        <w:rPr>
          <w:rFonts w:eastAsia="Times New Roman" w:cs="Arial"/>
          <w:shd w:val="clear" w:color="auto" w:fill="FFFFFF"/>
          <w:lang w:eastAsia="en-GB"/>
        </w:rPr>
        <w:t xml:space="preserve">Design and Construction property is forecast to overspend by c£2.200m of which c£790,000 relates to a review of costs previously recharged to the capital programme with the impact of the reduction in the recharge being reflected in the medium-term financial strategy at </w:t>
      </w:r>
      <w:r w:rsidR="00A73D1B">
        <w:rPr>
          <w:rFonts w:eastAsia="Times New Roman" w:cs="Arial"/>
          <w:shd w:val="clear" w:color="auto" w:fill="FFFFFF"/>
          <w:lang w:eastAsia="en-GB"/>
        </w:rPr>
        <w:t>Q</w:t>
      </w:r>
      <w:r w:rsidRPr="00FE1C72">
        <w:rPr>
          <w:rFonts w:eastAsia="Times New Roman" w:cs="Arial"/>
          <w:shd w:val="clear" w:color="auto" w:fill="FFFFFF"/>
          <w:lang w:eastAsia="en-GB"/>
        </w:rPr>
        <w:t>uarter 1.  In the main the overspend relates to the receipt of less income than budgeted</w:t>
      </w:r>
      <w:r>
        <w:rPr>
          <w:rFonts w:eastAsia="Times New Roman" w:cs="Arial"/>
          <w:shd w:val="clear" w:color="auto" w:fill="FFFFFF"/>
          <w:lang w:eastAsia="en-GB"/>
        </w:rPr>
        <w:t xml:space="preserve">. </w:t>
      </w:r>
      <w:r w:rsidRPr="00FE1C72">
        <w:rPr>
          <w:rFonts w:eastAsia="Times New Roman" w:cs="Arial"/>
          <w:shd w:val="clear" w:color="auto" w:fill="FFFFFF"/>
          <w:lang w:eastAsia="en-GB"/>
        </w:rPr>
        <w:t xml:space="preserve"> </w:t>
      </w:r>
      <w:r w:rsidRPr="000F78F1">
        <w:rPr>
          <w:rFonts w:cs="Arial"/>
          <w:color w:val="auto"/>
        </w:rPr>
        <w:t>This is mainly due to the mix of projects the service ha</w:t>
      </w:r>
      <w:r w:rsidR="009A5E04">
        <w:rPr>
          <w:rFonts w:cs="Arial"/>
          <w:color w:val="auto"/>
        </w:rPr>
        <w:t>s</w:t>
      </w:r>
      <w:r w:rsidRPr="000F78F1">
        <w:rPr>
          <w:rFonts w:cs="Arial"/>
          <w:color w:val="auto"/>
        </w:rPr>
        <w:t xml:space="preserve"> been commissioned to deliver and will be kept under review, with the potential for the forecast to improve dependent upon the work received.</w:t>
      </w:r>
    </w:p>
    <w:p w14:paraId="07F1A76E" w14:textId="77777777" w:rsidR="00FE1C72" w:rsidRDefault="00FE1C72" w:rsidP="000F78F1">
      <w:pPr>
        <w:spacing w:after="0"/>
        <w:textAlignment w:val="baseline"/>
        <w:rPr>
          <w:rFonts w:eastAsia="Times New Roman" w:cs="Arial"/>
          <w:b/>
          <w:bCs/>
          <w:highlight w:val="yellow"/>
          <w:lang w:eastAsia="en-GB"/>
        </w:rPr>
      </w:pPr>
    </w:p>
    <w:p w14:paraId="58AEDC4F" w14:textId="143163D3" w:rsidR="000F78F1" w:rsidRPr="00C03F93" w:rsidRDefault="000F78F1" w:rsidP="000F78F1">
      <w:pPr>
        <w:spacing w:after="0"/>
        <w:textAlignment w:val="baseline"/>
        <w:rPr>
          <w:rFonts w:ascii="Segoe UI" w:eastAsia="Times New Roman" w:hAnsi="Segoe UI" w:cs="Segoe UI"/>
          <w:sz w:val="18"/>
          <w:szCs w:val="18"/>
          <w:lang w:eastAsia="en-GB"/>
        </w:rPr>
      </w:pPr>
      <w:r w:rsidRPr="00C03F93">
        <w:rPr>
          <w:rFonts w:eastAsia="Times New Roman" w:cs="Arial"/>
          <w:b/>
          <w:bCs/>
          <w:lang w:eastAsia="en-GB"/>
        </w:rPr>
        <w:t>Customer Access – Forecast overspend £0.</w:t>
      </w:r>
      <w:r w:rsidR="00C03F93" w:rsidRPr="00C03F93">
        <w:rPr>
          <w:rFonts w:eastAsia="Times New Roman" w:cs="Arial"/>
          <w:b/>
          <w:bCs/>
          <w:lang w:eastAsia="en-GB"/>
        </w:rPr>
        <w:t>308</w:t>
      </w:r>
      <w:r w:rsidRPr="00C03F93">
        <w:rPr>
          <w:rFonts w:eastAsia="Times New Roman" w:cs="Arial"/>
          <w:b/>
          <w:bCs/>
          <w:lang w:eastAsia="en-GB"/>
        </w:rPr>
        <w:t>m</w:t>
      </w:r>
      <w:r w:rsidRPr="00C03F93">
        <w:rPr>
          <w:rFonts w:eastAsia="Times New Roman" w:cs="Arial"/>
          <w:lang w:eastAsia="en-GB"/>
        </w:rPr>
        <w:t>  </w:t>
      </w:r>
    </w:p>
    <w:p w14:paraId="6530962C" w14:textId="24FB49BA" w:rsidR="00C03F93" w:rsidRPr="00C03F93" w:rsidRDefault="00C03F93" w:rsidP="000F78F1">
      <w:pPr>
        <w:spacing w:after="0"/>
        <w:contextualSpacing/>
        <w:rPr>
          <w:rFonts w:cs="Arial"/>
        </w:rPr>
      </w:pPr>
      <w:r w:rsidRPr="00C03F93">
        <w:rPr>
          <w:rFonts w:cs="Arial"/>
        </w:rPr>
        <w:t xml:space="preserve">The forecast overspend is due to the service being unable to make the full staffing reductions required in line with budget reductions. An overspend on staffing has been required </w:t>
      </w:r>
      <w:proofErr w:type="gramStart"/>
      <w:r w:rsidRPr="00C03F93">
        <w:rPr>
          <w:rFonts w:cs="Arial"/>
        </w:rPr>
        <w:t>in order to</w:t>
      </w:r>
      <w:proofErr w:type="gramEnd"/>
      <w:r w:rsidRPr="00C03F93">
        <w:rPr>
          <w:rFonts w:cs="Arial"/>
        </w:rPr>
        <w:t xml:space="preserve"> deliver an acceptable level of service during 2022/23. Technical solutions are being explored </w:t>
      </w:r>
      <w:proofErr w:type="gramStart"/>
      <w:r w:rsidRPr="00C03F93">
        <w:rPr>
          <w:rFonts w:cs="Arial"/>
        </w:rPr>
        <w:t>in order to</w:t>
      </w:r>
      <w:proofErr w:type="gramEnd"/>
      <w:r w:rsidRPr="00C03F93">
        <w:rPr>
          <w:rFonts w:cs="Arial"/>
        </w:rPr>
        <w:t xml:space="preserve"> generate efficiencies and enable the service to be delivered at the lowest possible cost</w:t>
      </w:r>
      <w:r w:rsidR="00F80D33">
        <w:rPr>
          <w:rFonts w:cs="Arial"/>
        </w:rPr>
        <w:t>,</w:t>
      </w:r>
      <w:r w:rsidRPr="00C03F93">
        <w:rPr>
          <w:rFonts w:cs="Arial"/>
        </w:rPr>
        <w:t xml:space="preserve"> whilst retaining satisfactory service levels for customers. Longer term the service levels themselves may also need to be reviewed.</w:t>
      </w:r>
    </w:p>
    <w:p w14:paraId="7C0F9EDE" w14:textId="77777777" w:rsidR="000F78F1" w:rsidRPr="00C03F93" w:rsidRDefault="000F78F1" w:rsidP="000F78F1">
      <w:pPr>
        <w:spacing w:after="0"/>
        <w:textAlignment w:val="baseline"/>
        <w:rPr>
          <w:rFonts w:ascii="Segoe UI" w:eastAsia="Times New Roman" w:hAnsi="Segoe UI" w:cs="Segoe UI"/>
          <w:sz w:val="18"/>
          <w:szCs w:val="18"/>
          <w:lang w:eastAsia="en-GB"/>
        </w:rPr>
      </w:pPr>
      <w:r w:rsidRPr="00C03F93">
        <w:rPr>
          <w:rFonts w:eastAsia="Times New Roman" w:cs="Arial"/>
          <w:lang w:eastAsia="en-GB"/>
        </w:rPr>
        <w:t>  </w:t>
      </w:r>
    </w:p>
    <w:p w14:paraId="7E4EB44A" w14:textId="194D55FE" w:rsidR="000F78F1" w:rsidRPr="00C75BA1" w:rsidRDefault="000F78F1" w:rsidP="000F78F1">
      <w:pPr>
        <w:spacing w:after="0"/>
        <w:textAlignment w:val="baseline"/>
        <w:rPr>
          <w:rFonts w:eastAsia="Times New Roman" w:cs="Arial"/>
          <w:b/>
          <w:bCs/>
          <w:highlight w:val="yellow"/>
          <w:u w:val="single"/>
          <w:lang w:eastAsia="en-GB"/>
        </w:rPr>
      </w:pPr>
      <w:r w:rsidRPr="00C03F93">
        <w:rPr>
          <w:rFonts w:eastAsia="Times New Roman" w:cs="Arial"/>
          <w:b/>
          <w:bCs/>
          <w:u w:val="single"/>
          <w:lang w:eastAsia="en-GB"/>
        </w:rPr>
        <w:t>Growth and Regeneration – Forecast underspend of £0.2</w:t>
      </w:r>
      <w:r w:rsidR="00C03F93" w:rsidRPr="00C03F93">
        <w:rPr>
          <w:rFonts w:eastAsia="Times New Roman" w:cs="Arial"/>
          <w:b/>
          <w:bCs/>
          <w:u w:val="single"/>
          <w:lang w:eastAsia="en-GB"/>
        </w:rPr>
        <w:t>43</w:t>
      </w:r>
      <w:r w:rsidRPr="00C03F93">
        <w:rPr>
          <w:rFonts w:eastAsia="Times New Roman" w:cs="Arial"/>
          <w:b/>
          <w:bCs/>
          <w:u w:val="single"/>
          <w:lang w:eastAsia="en-GB"/>
        </w:rPr>
        <w:t>m</w:t>
      </w:r>
    </w:p>
    <w:p w14:paraId="2C676EA6" w14:textId="6ADA3096" w:rsidR="000F78F1" w:rsidRPr="006B47E3" w:rsidRDefault="000F78F1" w:rsidP="000F78F1">
      <w:pPr>
        <w:spacing w:after="0"/>
        <w:textAlignment w:val="baseline"/>
        <w:rPr>
          <w:rFonts w:eastAsia="Times New Roman" w:cs="Arial"/>
          <w:shd w:val="clear" w:color="auto" w:fill="FFFFFF"/>
          <w:lang w:eastAsia="en-GB"/>
        </w:rPr>
      </w:pPr>
      <w:r w:rsidRPr="006B47E3">
        <w:rPr>
          <w:rFonts w:eastAsia="Times New Roman" w:cs="Arial"/>
          <w:lang w:eastAsia="en-GB"/>
        </w:rPr>
        <w:t xml:space="preserve">An overspend is forecast on Business Growth due to non-delivery of savings </w:t>
      </w:r>
      <w:r w:rsidRPr="006B47E3">
        <w:rPr>
          <w:rFonts w:eastAsia="Times New Roman" w:cs="Arial"/>
          <w:shd w:val="clear" w:color="auto" w:fill="FFFFFF"/>
          <w:lang w:eastAsia="en-GB"/>
        </w:rPr>
        <w:t>that were targeting generating additional income from the L</w:t>
      </w:r>
      <w:r w:rsidR="00597615">
        <w:rPr>
          <w:rFonts w:eastAsia="Times New Roman" w:cs="Arial"/>
          <w:shd w:val="clear" w:color="auto" w:fill="FFFFFF"/>
          <w:lang w:eastAsia="en-GB"/>
        </w:rPr>
        <w:t xml:space="preserve">ancashire </w:t>
      </w:r>
      <w:r w:rsidRPr="006B47E3">
        <w:rPr>
          <w:rFonts w:eastAsia="Times New Roman" w:cs="Arial"/>
          <w:shd w:val="clear" w:color="auto" w:fill="FFFFFF"/>
          <w:lang w:eastAsia="en-GB"/>
        </w:rPr>
        <w:t>C</w:t>
      </w:r>
      <w:r w:rsidR="00597615">
        <w:rPr>
          <w:rFonts w:eastAsia="Times New Roman" w:cs="Arial"/>
          <w:shd w:val="clear" w:color="auto" w:fill="FFFFFF"/>
          <w:lang w:eastAsia="en-GB"/>
        </w:rPr>
        <w:t xml:space="preserve">ounty </w:t>
      </w:r>
      <w:r w:rsidRPr="006B47E3">
        <w:rPr>
          <w:rFonts w:eastAsia="Times New Roman" w:cs="Arial"/>
          <w:shd w:val="clear" w:color="auto" w:fill="FFFFFF"/>
          <w:lang w:eastAsia="en-GB"/>
        </w:rPr>
        <w:t>D</w:t>
      </w:r>
      <w:r w:rsidR="00597615">
        <w:rPr>
          <w:rFonts w:eastAsia="Times New Roman" w:cs="Arial"/>
          <w:shd w:val="clear" w:color="auto" w:fill="FFFFFF"/>
          <w:lang w:eastAsia="en-GB"/>
        </w:rPr>
        <w:t xml:space="preserve">evelopments </w:t>
      </w:r>
      <w:r w:rsidRPr="006B47E3">
        <w:rPr>
          <w:rFonts w:eastAsia="Times New Roman" w:cs="Arial"/>
          <w:shd w:val="clear" w:color="auto" w:fill="FFFFFF"/>
          <w:lang w:eastAsia="en-GB"/>
        </w:rPr>
        <w:t>L</w:t>
      </w:r>
      <w:r w:rsidR="00597615">
        <w:rPr>
          <w:rFonts w:eastAsia="Times New Roman" w:cs="Arial"/>
          <w:shd w:val="clear" w:color="auto" w:fill="FFFFFF"/>
          <w:lang w:eastAsia="en-GB"/>
        </w:rPr>
        <w:t>imited</w:t>
      </w:r>
      <w:r w:rsidRPr="006B47E3">
        <w:rPr>
          <w:rFonts w:eastAsia="Times New Roman" w:cs="Arial"/>
          <w:shd w:val="clear" w:color="auto" w:fill="FFFFFF"/>
          <w:lang w:eastAsia="en-GB"/>
        </w:rPr>
        <w:t xml:space="preserve"> business parks and securing increased contributions from unitary and district council partners. These savings are £700,000 in 2022/23 and the forecast shows that efforts are being made to mitigate some of the non-delivery of savings</w:t>
      </w:r>
      <w:r w:rsidR="00F10A7E">
        <w:rPr>
          <w:rFonts w:eastAsia="Times New Roman" w:cs="Arial"/>
          <w:shd w:val="clear" w:color="auto" w:fill="FFFFFF"/>
          <w:lang w:eastAsia="en-GB"/>
        </w:rPr>
        <w:t>,</w:t>
      </w:r>
      <w:r w:rsidRPr="006B47E3">
        <w:rPr>
          <w:rFonts w:eastAsia="Times New Roman" w:cs="Arial"/>
          <w:shd w:val="clear" w:color="auto" w:fill="FFFFFF"/>
          <w:lang w:eastAsia="en-GB"/>
        </w:rPr>
        <w:t xml:space="preserve"> with action taken across other areas of the service to reduce expenditure to ensure a breakeven position is achieved. </w:t>
      </w:r>
    </w:p>
    <w:p w14:paraId="0B989BC3" w14:textId="789C4E92" w:rsidR="000F78F1" w:rsidRDefault="000F78F1" w:rsidP="000F78F1">
      <w:pPr>
        <w:spacing w:after="0"/>
        <w:textAlignment w:val="baseline"/>
        <w:rPr>
          <w:rFonts w:eastAsia="Times New Roman" w:cs="Arial"/>
          <w:lang w:eastAsia="en-GB"/>
        </w:rPr>
      </w:pPr>
    </w:p>
    <w:p w14:paraId="54D08A4C" w14:textId="242739A8" w:rsidR="006B47E3" w:rsidRPr="000F78F1" w:rsidRDefault="006B47E3" w:rsidP="006B47E3">
      <w:pPr>
        <w:spacing w:after="0"/>
        <w:textAlignment w:val="baseline"/>
        <w:rPr>
          <w:rFonts w:ascii="Segoe UI" w:eastAsia="Times New Roman" w:hAnsi="Segoe UI" w:cs="Segoe UI"/>
          <w:b/>
          <w:bCs/>
          <w:sz w:val="18"/>
          <w:szCs w:val="18"/>
          <w:u w:val="single"/>
          <w:lang w:eastAsia="en-GB"/>
        </w:rPr>
      </w:pPr>
      <w:r w:rsidRPr="000F78F1">
        <w:rPr>
          <w:rFonts w:eastAsia="Times New Roman" w:cs="Arial"/>
          <w:b/>
          <w:bCs/>
          <w:u w:val="single"/>
          <w:lang w:eastAsia="en-GB"/>
        </w:rPr>
        <w:t>Environment and Planning – Forecast underspend of £0.</w:t>
      </w:r>
      <w:r>
        <w:rPr>
          <w:rFonts w:eastAsia="Times New Roman" w:cs="Arial"/>
          <w:b/>
          <w:bCs/>
          <w:u w:val="single"/>
          <w:lang w:eastAsia="en-GB"/>
        </w:rPr>
        <w:t>007</w:t>
      </w:r>
      <w:r w:rsidRPr="000F78F1">
        <w:rPr>
          <w:rFonts w:eastAsia="Times New Roman" w:cs="Arial"/>
          <w:b/>
          <w:bCs/>
          <w:u w:val="single"/>
          <w:lang w:eastAsia="en-GB"/>
        </w:rPr>
        <w:t>m</w:t>
      </w:r>
    </w:p>
    <w:p w14:paraId="1F7F22DD" w14:textId="33442515" w:rsidR="000F78F1" w:rsidRDefault="006B47E3" w:rsidP="006B47E3">
      <w:pPr>
        <w:spacing w:after="0"/>
        <w:textAlignment w:val="baseline"/>
        <w:rPr>
          <w:rFonts w:eastAsia="Times New Roman" w:cs="Arial"/>
          <w:lang w:eastAsia="en-GB"/>
        </w:rPr>
      </w:pPr>
      <w:r w:rsidRPr="006B47E3">
        <w:rPr>
          <w:rFonts w:eastAsia="Times New Roman" w:cs="Arial"/>
          <w:lang w:eastAsia="en-GB"/>
        </w:rPr>
        <w:t>Overall, there is no significant variance however there are staffing underspends across the service offset by operational overspends on countryside and public rights of way.</w:t>
      </w:r>
    </w:p>
    <w:p w14:paraId="10C0CC95" w14:textId="77777777" w:rsidR="00B772FE" w:rsidRDefault="00B772FE" w:rsidP="006B47E3">
      <w:pPr>
        <w:spacing w:after="0"/>
        <w:textAlignment w:val="baseline"/>
        <w:rPr>
          <w:rFonts w:eastAsia="Times New Roman" w:cs="Arial"/>
          <w:lang w:eastAsia="en-GB"/>
        </w:rPr>
      </w:pPr>
    </w:p>
    <w:p w14:paraId="35420FCE" w14:textId="77777777" w:rsidR="00B772FE" w:rsidRPr="00B772FE" w:rsidRDefault="00B772FE" w:rsidP="00B772FE">
      <w:pPr>
        <w:rPr>
          <w:rFonts w:eastAsia="Times New Roman" w:cs="Arial"/>
          <w:lang w:eastAsia="en-GB"/>
        </w:rPr>
      </w:pPr>
      <w:r w:rsidRPr="00B772FE">
        <w:rPr>
          <w:rFonts w:eastAsia="Times New Roman" w:cs="Arial"/>
          <w:lang w:eastAsia="en-GB"/>
        </w:rPr>
        <w:t xml:space="preserve">Several vacant posts will be recruited to soon to help with project delivery following the County Council's recent success in securing large capital grants for active travel and public transport schemes.  New ways of managing the operational overspends on countryside and public rights of way are therefore under consideration.  </w:t>
      </w:r>
    </w:p>
    <w:p w14:paraId="37149D15" w14:textId="77777777" w:rsidR="00B772FE" w:rsidRDefault="00B772FE" w:rsidP="006B47E3">
      <w:pPr>
        <w:spacing w:after="0"/>
        <w:textAlignment w:val="baseline"/>
        <w:rPr>
          <w:rFonts w:eastAsia="Times New Roman" w:cs="Arial"/>
          <w:lang w:eastAsia="en-GB"/>
        </w:rPr>
      </w:pPr>
    </w:p>
    <w:bookmarkEnd w:id="14"/>
    <w:p w14:paraId="559795E4" w14:textId="061A8B4E" w:rsidR="000F78F1" w:rsidRDefault="000F78F1" w:rsidP="000F78F1">
      <w:pPr>
        <w:spacing w:after="0"/>
        <w:textAlignment w:val="baseline"/>
        <w:rPr>
          <w:rFonts w:eastAsia="Times New Roman" w:cs="Arial"/>
          <w:lang w:eastAsia="en-GB"/>
        </w:rPr>
      </w:pPr>
    </w:p>
    <w:p w14:paraId="435EDC25" w14:textId="5422479E" w:rsidR="000F78F1" w:rsidRDefault="000F78F1" w:rsidP="000F78F1">
      <w:pPr>
        <w:spacing w:after="0"/>
        <w:textAlignment w:val="baseline"/>
        <w:rPr>
          <w:rFonts w:eastAsia="Times New Roman" w:cs="Arial"/>
          <w:lang w:eastAsia="en-GB"/>
        </w:rPr>
      </w:pPr>
    </w:p>
    <w:p w14:paraId="42224AAB" w14:textId="4843DA50" w:rsidR="000F78F1" w:rsidRDefault="000F78F1" w:rsidP="000F78F1">
      <w:pPr>
        <w:spacing w:after="0"/>
        <w:textAlignment w:val="baseline"/>
        <w:rPr>
          <w:rFonts w:eastAsia="Times New Roman" w:cs="Arial"/>
          <w:lang w:eastAsia="en-GB"/>
        </w:rPr>
      </w:pPr>
    </w:p>
    <w:p w14:paraId="6E1B053A" w14:textId="2475660D" w:rsidR="000F78F1" w:rsidRDefault="000F78F1" w:rsidP="000F78F1">
      <w:pPr>
        <w:spacing w:after="0"/>
        <w:textAlignment w:val="baseline"/>
        <w:rPr>
          <w:rFonts w:eastAsia="Times New Roman" w:cs="Arial"/>
          <w:lang w:eastAsia="en-GB"/>
        </w:rPr>
      </w:pPr>
    </w:p>
    <w:p w14:paraId="46D8B519" w14:textId="16CD5B09" w:rsidR="000F78F1" w:rsidRDefault="000F78F1" w:rsidP="000F78F1">
      <w:pPr>
        <w:spacing w:after="0"/>
        <w:textAlignment w:val="baseline"/>
        <w:rPr>
          <w:rFonts w:eastAsia="Times New Roman" w:cs="Arial"/>
          <w:lang w:eastAsia="en-GB"/>
        </w:rPr>
      </w:pPr>
    </w:p>
    <w:p w14:paraId="5F2A20C4" w14:textId="4712FBEA" w:rsidR="000F78F1" w:rsidRDefault="000F78F1" w:rsidP="000F78F1">
      <w:pPr>
        <w:spacing w:after="0"/>
        <w:textAlignment w:val="baseline"/>
        <w:rPr>
          <w:rFonts w:eastAsia="Times New Roman" w:cs="Arial"/>
          <w:lang w:eastAsia="en-GB"/>
        </w:rPr>
      </w:pPr>
    </w:p>
    <w:p w14:paraId="3E572C6E" w14:textId="45DAF720" w:rsidR="000F78F1" w:rsidRDefault="000F78F1" w:rsidP="000F78F1">
      <w:pPr>
        <w:spacing w:after="0"/>
        <w:textAlignment w:val="baseline"/>
        <w:rPr>
          <w:rFonts w:eastAsia="Times New Roman" w:cs="Arial"/>
          <w:lang w:eastAsia="en-GB"/>
        </w:rPr>
      </w:pPr>
    </w:p>
    <w:p w14:paraId="7C475B5E" w14:textId="3CC487E1" w:rsidR="000F78F1" w:rsidRDefault="000F78F1" w:rsidP="000F78F1">
      <w:pPr>
        <w:spacing w:after="0"/>
        <w:textAlignment w:val="baseline"/>
        <w:rPr>
          <w:rFonts w:eastAsia="Times New Roman" w:cs="Arial"/>
          <w:lang w:eastAsia="en-GB"/>
        </w:rPr>
      </w:pPr>
    </w:p>
    <w:p w14:paraId="5A9D8F8A" w14:textId="7DB26735" w:rsidR="000F78F1" w:rsidRDefault="000F78F1" w:rsidP="000F78F1">
      <w:pPr>
        <w:spacing w:after="0"/>
        <w:textAlignment w:val="baseline"/>
        <w:rPr>
          <w:rFonts w:eastAsia="Times New Roman" w:cs="Arial"/>
          <w:lang w:eastAsia="en-GB"/>
        </w:rPr>
      </w:pPr>
    </w:p>
    <w:p w14:paraId="402E4D52" w14:textId="53CE92D1" w:rsidR="000F78F1" w:rsidRDefault="000F78F1" w:rsidP="000F78F1">
      <w:pPr>
        <w:spacing w:after="0"/>
        <w:textAlignment w:val="baseline"/>
        <w:rPr>
          <w:rFonts w:eastAsia="Times New Roman" w:cs="Arial"/>
          <w:lang w:eastAsia="en-GB"/>
        </w:rPr>
      </w:pPr>
    </w:p>
    <w:p w14:paraId="36E33CE2" w14:textId="247C2BB1" w:rsidR="000F78F1" w:rsidRDefault="000F78F1" w:rsidP="000F78F1">
      <w:pPr>
        <w:spacing w:after="0"/>
        <w:textAlignment w:val="baseline"/>
        <w:rPr>
          <w:rFonts w:eastAsia="Times New Roman" w:cs="Arial"/>
          <w:lang w:eastAsia="en-GB"/>
        </w:rPr>
      </w:pPr>
    </w:p>
    <w:p w14:paraId="4AA4FBC5" w14:textId="18FC3E2E" w:rsidR="000F78F1" w:rsidRDefault="000F78F1" w:rsidP="000F78F1">
      <w:pPr>
        <w:spacing w:after="0"/>
        <w:textAlignment w:val="baseline"/>
        <w:rPr>
          <w:rFonts w:eastAsia="Times New Roman" w:cs="Arial"/>
          <w:lang w:eastAsia="en-GB"/>
        </w:rPr>
      </w:pPr>
    </w:p>
    <w:p w14:paraId="1FEA3B90" w14:textId="0BC0221A" w:rsidR="000F78F1" w:rsidRDefault="000F78F1" w:rsidP="000F78F1">
      <w:pPr>
        <w:spacing w:after="0"/>
        <w:textAlignment w:val="baseline"/>
        <w:rPr>
          <w:rFonts w:eastAsia="Times New Roman" w:cs="Arial"/>
          <w:lang w:eastAsia="en-GB"/>
        </w:rPr>
      </w:pPr>
    </w:p>
    <w:p w14:paraId="64E8EC66" w14:textId="76171891" w:rsidR="000F78F1" w:rsidRDefault="000F78F1" w:rsidP="000F78F1">
      <w:pPr>
        <w:spacing w:after="0"/>
        <w:textAlignment w:val="baseline"/>
        <w:rPr>
          <w:rFonts w:eastAsia="Times New Roman" w:cs="Arial"/>
          <w:lang w:eastAsia="en-GB"/>
        </w:rPr>
      </w:pPr>
    </w:p>
    <w:p w14:paraId="6F166457" w14:textId="3544C46C" w:rsidR="000F78F1" w:rsidRDefault="000F78F1" w:rsidP="000F78F1">
      <w:pPr>
        <w:spacing w:after="0"/>
        <w:textAlignment w:val="baseline"/>
        <w:rPr>
          <w:rFonts w:eastAsia="Times New Roman" w:cs="Arial"/>
          <w:lang w:eastAsia="en-GB"/>
        </w:rPr>
      </w:pPr>
    </w:p>
    <w:p w14:paraId="2A3023E6" w14:textId="3F5500D8" w:rsidR="000F78F1" w:rsidRDefault="000F78F1" w:rsidP="000F78F1">
      <w:pPr>
        <w:spacing w:after="0"/>
        <w:textAlignment w:val="baseline"/>
        <w:rPr>
          <w:rFonts w:eastAsia="Times New Roman" w:cs="Arial"/>
          <w:lang w:eastAsia="en-GB"/>
        </w:rPr>
      </w:pPr>
    </w:p>
    <w:p w14:paraId="3B0E243A" w14:textId="42AB16CD" w:rsidR="000F78F1" w:rsidRDefault="000F78F1" w:rsidP="000F78F1">
      <w:pPr>
        <w:spacing w:after="0"/>
        <w:textAlignment w:val="baseline"/>
        <w:rPr>
          <w:rFonts w:eastAsia="Times New Roman" w:cs="Arial"/>
          <w:lang w:eastAsia="en-GB"/>
        </w:rPr>
      </w:pPr>
    </w:p>
    <w:p w14:paraId="3896994E" w14:textId="4F92257E" w:rsidR="000F78F1" w:rsidRDefault="000F78F1" w:rsidP="000F78F1">
      <w:pPr>
        <w:spacing w:after="0"/>
        <w:textAlignment w:val="baseline"/>
        <w:rPr>
          <w:rFonts w:eastAsia="Times New Roman" w:cs="Arial"/>
          <w:lang w:eastAsia="en-GB"/>
        </w:rPr>
      </w:pPr>
    </w:p>
    <w:p w14:paraId="34B5444A" w14:textId="1C2BC2BE" w:rsidR="000F78F1" w:rsidRDefault="000F78F1" w:rsidP="000F78F1">
      <w:pPr>
        <w:spacing w:after="0"/>
        <w:textAlignment w:val="baseline"/>
        <w:rPr>
          <w:rFonts w:eastAsia="Times New Roman" w:cs="Arial"/>
          <w:lang w:eastAsia="en-GB"/>
        </w:rPr>
      </w:pPr>
    </w:p>
    <w:p w14:paraId="053BC1B0" w14:textId="77777777" w:rsidR="00B772FE" w:rsidRDefault="00B772FE" w:rsidP="000F78F1">
      <w:pPr>
        <w:spacing w:after="0"/>
        <w:textAlignment w:val="baseline"/>
        <w:rPr>
          <w:rFonts w:eastAsia="Times New Roman" w:cs="Arial"/>
          <w:lang w:eastAsia="en-GB"/>
        </w:rPr>
      </w:pPr>
    </w:p>
    <w:p w14:paraId="19AAC3D0" w14:textId="77777777" w:rsidR="006C04E1" w:rsidRDefault="006C04E1" w:rsidP="000F78F1">
      <w:pPr>
        <w:spacing w:after="0"/>
        <w:textAlignment w:val="baseline"/>
        <w:rPr>
          <w:rFonts w:eastAsia="Times New Roman" w:cs="Arial"/>
          <w:lang w:eastAsia="en-GB"/>
        </w:rPr>
      </w:pPr>
    </w:p>
    <w:p w14:paraId="6CFC21F9" w14:textId="77777777" w:rsidR="00940D73" w:rsidRPr="000F78F1" w:rsidRDefault="00940D73" w:rsidP="000F78F1">
      <w:pPr>
        <w:spacing w:after="0"/>
        <w:textAlignment w:val="baseline"/>
        <w:rPr>
          <w:rFonts w:ascii="Segoe UI" w:eastAsia="Times New Roman" w:hAnsi="Segoe UI" w:cs="Segoe UI"/>
          <w:sz w:val="18"/>
          <w:szCs w:val="18"/>
          <w:lang w:eastAsia="en-GB"/>
        </w:rPr>
      </w:pPr>
    </w:p>
    <w:p w14:paraId="38164E9C" w14:textId="77777777" w:rsidR="000F78F1" w:rsidRPr="000F78F1" w:rsidRDefault="000F78F1" w:rsidP="000F78F1">
      <w:pPr>
        <w:numPr>
          <w:ilvl w:val="0"/>
          <w:numId w:val="5"/>
        </w:numPr>
        <w:autoSpaceDE/>
        <w:autoSpaceDN/>
        <w:adjustRightInd/>
        <w:spacing w:after="0"/>
        <w:textAlignment w:val="baseline"/>
        <w:rPr>
          <w:rFonts w:eastAsia="Times New Roman" w:cs="Arial"/>
          <w:b/>
          <w:bCs/>
          <w:color w:val="auto"/>
          <w:u w:val="single"/>
          <w:lang w:eastAsia="en-GB"/>
        </w:rPr>
      </w:pPr>
      <w:bookmarkStart w:id="15" w:name="_Hlk118903609"/>
      <w:r w:rsidRPr="000F78F1">
        <w:rPr>
          <w:rFonts w:eastAsia="Times New Roman" w:cs="Arial"/>
          <w:b/>
          <w:bCs/>
          <w:color w:val="auto"/>
          <w:u w:val="single"/>
          <w:lang w:eastAsia="en-GB"/>
        </w:rPr>
        <w:lastRenderedPageBreak/>
        <w:t xml:space="preserve">Resources Directorate </w:t>
      </w:r>
    </w:p>
    <w:p w14:paraId="4AD28545" w14:textId="77777777" w:rsidR="000F78F1" w:rsidRPr="000F78F1" w:rsidRDefault="000F78F1" w:rsidP="000F78F1">
      <w:pPr>
        <w:autoSpaceDE/>
        <w:autoSpaceDN/>
        <w:adjustRightInd/>
        <w:spacing w:after="0"/>
        <w:textAlignment w:val="baseline"/>
        <w:rPr>
          <w:rFonts w:eastAsia="Times New Roman" w:cs="Arial"/>
          <w:b/>
          <w:bCs/>
          <w:color w:val="auto"/>
          <w:highlight w:val="yellow"/>
          <w:u w:val="single"/>
          <w:lang w:eastAsia="en-GB"/>
        </w:rPr>
      </w:pPr>
    </w:p>
    <w:tbl>
      <w:tblPr>
        <w:tblW w:w="9539" w:type="dxa"/>
        <w:tblInd w:w="-572" w:type="dxa"/>
        <w:tblLook w:val="04A0" w:firstRow="1" w:lastRow="0" w:firstColumn="1" w:lastColumn="0" w:noHBand="0" w:noVBand="1"/>
      </w:tblPr>
      <w:tblGrid>
        <w:gridCol w:w="4152"/>
        <w:gridCol w:w="1084"/>
        <w:gridCol w:w="1084"/>
        <w:gridCol w:w="1050"/>
        <w:gridCol w:w="1050"/>
        <w:gridCol w:w="1119"/>
      </w:tblGrid>
      <w:tr w:rsidR="00C75BA1" w:rsidRPr="00C75BA1" w14:paraId="3B49F696" w14:textId="77777777" w:rsidTr="006B08CB">
        <w:trPr>
          <w:trHeight w:val="737"/>
        </w:trPr>
        <w:tc>
          <w:tcPr>
            <w:tcW w:w="41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564823"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Service Area</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14:paraId="781A3FE0"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xml:space="preserve">Net Budget </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14:paraId="22117A6D"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xml:space="preserve">Net Forecast Outturn </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1392596E"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Net Forecast Variance</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707D7C6B"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Net Forecast Variance</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191AFC33"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Q2 Variance</w:t>
            </w:r>
          </w:p>
        </w:tc>
      </w:tr>
      <w:tr w:rsidR="002D6208" w:rsidRPr="00C75BA1" w14:paraId="650BB56A"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1F85ABF7"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 </w:t>
            </w:r>
          </w:p>
        </w:tc>
        <w:tc>
          <w:tcPr>
            <w:tcW w:w="1084" w:type="dxa"/>
            <w:tcBorders>
              <w:top w:val="nil"/>
              <w:left w:val="nil"/>
              <w:bottom w:val="nil"/>
              <w:right w:val="single" w:sz="4" w:space="0" w:color="auto"/>
            </w:tcBorders>
            <w:shd w:val="clear" w:color="000000" w:fill="D9D9D9"/>
            <w:vAlign w:val="center"/>
            <w:hideMark/>
          </w:tcPr>
          <w:p w14:paraId="6622E38B"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1084" w:type="dxa"/>
            <w:tcBorders>
              <w:top w:val="nil"/>
              <w:left w:val="nil"/>
              <w:bottom w:val="nil"/>
              <w:right w:val="single" w:sz="4" w:space="0" w:color="auto"/>
            </w:tcBorders>
            <w:shd w:val="clear" w:color="000000" w:fill="D9D9D9"/>
            <w:vAlign w:val="center"/>
            <w:hideMark/>
          </w:tcPr>
          <w:p w14:paraId="638029E7"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1050" w:type="dxa"/>
            <w:tcBorders>
              <w:top w:val="nil"/>
              <w:left w:val="nil"/>
              <w:bottom w:val="nil"/>
              <w:right w:val="single" w:sz="4" w:space="0" w:color="auto"/>
            </w:tcBorders>
            <w:shd w:val="clear" w:color="000000" w:fill="D9D9D9"/>
            <w:vAlign w:val="center"/>
            <w:hideMark/>
          </w:tcPr>
          <w:p w14:paraId="46D47E06"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£m</w:t>
            </w:r>
          </w:p>
        </w:tc>
        <w:tc>
          <w:tcPr>
            <w:tcW w:w="1050" w:type="dxa"/>
            <w:tcBorders>
              <w:top w:val="nil"/>
              <w:left w:val="nil"/>
              <w:bottom w:val="nil"/>
              <w:right w:val="single" w:sz="4" w:space="0" w:color="auto"/>
            </w:tcBorders>
            <w:shd w:val="clear" w:color="000000" w:fill="D9D9D9"/>
            <w:vAlign w:val="center"/>
            <w:hideMark/>
          </w:tcPr>
          <w:p w14:paraId="60F396BA" w14:textId="77777777" w:rsidR="00C75BA1" w:rsidRPr="00C75BA1" w:rsidRDefault="00C75BA1" w:rsidP="00C75BA1">
            <w:pPr>
              <w:autoSpaceDE/>
              <w:autoSpaceDN/>
              <w:adjustRightInd/>
              <w:spacing w:after="0"/>
              <w:jc w:val="center"/>
              <w:rPr>
                <w:rFonts w:eastAsia="Times New Roman" w:cs="Arial"/>
                <w:b/>
                <w:bCs/>
                <w:sz w:val="20"/>
                <w:szCs w:val="20"/>
                <w:lang w:eastAsia="en-GB"/>
              </w:rPr>
            </w:pPr>
            <w:r w:rsidRPr="00C75BA1">
              <w:rPr>
                <w:rFonts w:eastAsia="Times New Roman" w:cs="Arial"/>
                <w:b/>
                <w:bCs/>
                <w:sz w:val="20"/>
                <w:szCs w:val="20"/>
                <w:lang w:eastAsia="en-GB"/>
              </w:rPr>
              <w:t>%</w:t>
            </w:r>
          </w:p>
        </w:tc>
        <w:tc>
          <w:tcPr>
            <w:tcW w:w="1119" w:type="dxa"/>
            <w:tcBorders>
              <w:top w:val="nil"/>
              <w:left w:val="nil"/>
              <w:bottom w:val="nil"/>
              <w:right w:val="single" w:sz="4" w:space="0" w:color="auto"/>
            </w:tcBorders>
            <w:shd w:val="clear" w:color="000000" w:fill="D9D9D9"/>
            <w:vAlign w:val="center"/>
            <w:hideMark/>
          </w:tcPr>
          <w:p w14:paraId="7BEA42A5" w14:textId="77777777" w:rsidR="00C75BA1" w:rsidRPr="00C75BA1" w:rsidRDefault="00C75BA1" w:rsidP="00C75BA1">
            <w:pPr>
              <w:autoSpaceDE/>
              <w:autoSpaceDN/>
              <w:adjustRightInd/>
              <w:spacing w:after="0"/>
              <w:jc w:val="center"/>
              <w:rPr>
                <w:rFonts w:eastAsia="Times New Roman" w:cs="Arial"/>
                <w:b/>
                <w:bCs/>
                <w:color w:val="auto"/>
                <w:sz w:val="20"/>
                <w:szCs w:val="20"/>
                <w:lang w:eastAsia="en-GB"/>
              </w:rPr>
            </w:pPr>
            <w:r w:rsidRPr="00C75BA1">
              <w:rPr>
                <w:rFonts w:eastAsia="Times New Roman" w:cs="Arial"/>
                <w:b/>
                <w:bCs/>
                <w:color w:val="auto"/>
                <w:sz w:val="20"/>
                <w:szCs w:val="20"/>
                <w:lang w:eastAsia="en-GB"/>
              </w:rPr>
              <w:t>£m</w:t>
            </w:r>
          </w:p>
        </w:tc>
      </w:tr>
      <w:tr w:rsidR="00C75BA1" w:rsidRPr="00C75BA1" w14:paraId="3C07DB22"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0D3B9EEB"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Corporate Budgets (Pensions &amp; Apprenticeship Levy)</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34C5711"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11.599</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2B4FBC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12.557</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542B912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0.958</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66D58AB"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8.26%</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4BEF727C"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0.944</w:t>
            </w:r>
          </w:p>
        </w:tc>
      </w:tr>
      <w:tr w:rsidR="00C75BA1" w:rsidRPr="00C75BA1" w14:paraId="3FB85304"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146E8A43"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Corporate Budgets (Treasury Management)</w:t>
            </w:r>
          </w:p>
        </w:tc>
        <w:tc>
          <w:tcPr>
            <w:tcW w:w="1084" w:type="dxa"/>
            <w:tcBorders>
              <w:top w:val="nil"/>
              <w:left w:val="nil"/>
              <w:bottom w:val="single" w:sz="4" w:space="0" w:color="auto"/>
              <w:right w:val="single" w:sz="4" w:space="0" w:color="auto"/>
            </w:tcBorders>
            <w:shd w:val="clear" w:color="auto" w:fill="auto"/>
            <w:vAlign w:val="center"/>
            <w:hideMark/>
          </w:tcPr>
          <w:p w14:paraId="6FBAD6D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30.184</w:t>
            </w:r>
          </w:p>
        </w:tc>
        <w:tc>
          <w:tcPr>
            <w:tcW w:w="1084" w:type="dxa"/>
            <w:tcBorders>
              <w:top w:val="nil"/>
              <w:left w:val="nil"/>
              <w:bottom w:val="single" w:sz="4" w:space="0" w:color="auto"/>
              <w:right w:val="single" w:sz="4" w:space="0" w:color="auto"/>
            </w:tcBorders>
            <w:shd w:val="clear" w:color="auto" w:fill="auto"/>
            <w:vAlign w:val="center"/>
            <w:hideMark/>
          </w:tcPr>
          <w:p w14:paraId="6DD0361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30.184</w:t>
            </w:r>
          </w:p>
        </w:tc>
        <w:tc>
          <w:tcPr>
            <w:tcW w:w="1050" w:type="dxa"/>
            <w:tcBorders>
              <w:top w:val="nil"/>
              <w:left w:val="nil"/>
              <w:bottom w:val="single" w:sz="4" w:space="0" w:color="auto"/>
              <w:right w:val="single" w:sz="4" w:space="0" w:color="auto"/>
            </w:tcBorders>
            <w:shd w:val="clear" w:color="000000" w:fill="D9D9D9"/>
            <w:vAlign w:val="center"/>
            <w:hideMark/>
          </w:tcPr>
          <w:p w14:paraId="67B8F23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14:paraId="3D320A2B"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w:t>
            </w:r>
          </w:p>
        </w:tc>
        <w:tc>
          <w:tcPr>
            <w:tcW w:w="1119" w:type="dxa"/>
            <w:tcBorders>
              <w:top w:val="nil"/>
              <w:left w:val="nil"/>
              <w:bottom w:val="single" w:sz="4" w:space="0" w:color="auto"/>
              <w:right w:val="single" w:sz="4" w:space="0" w:color="auto"/>
            </w:tcBorders>
            <w:shd w:val="clear" w:color="000000" w:fill="D9D9D9"/>
            <w:vAlign w:val="center"/>
            <w:hideMark/>
          </w:tcPr>
          <w:p w14:paraId="43BCDEB3"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0.000</w:t>
            </w:r>
          </w:p>
        </w:tc>
      </w:tr>
      <w:tr w:rsidR="00C75BA1" w:rsidRPr="00C75BA1" w14:paraId="0F5F35B0"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1D55A010"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Resources</w:t>
            </w:r>
          </w:p>
        </w:tc>
        <w:tc>
          <w:tcPr>
            <w:tcW w:w="1084" w:type="dxa"/>
            <w:tcBorders>
              <w:top w:val="nil"/>
              <w:left w:val="nil"/>
              <w:bottom w:val="single" w:sz="4" w:space="0" w:color="auto"/>
              <w:right w:val="single" w:sz="4" w:space="0" w:color="auto"/>
            </w:tcBorders>
            <w:shd w:val="clear" w:color="auto" w:fill="auto"/>
            <w:vAlign w:val="center"/>
            <w:hideMark/>
          </w:tcPr>
          <w:p w14:paraId="78EA56F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0.570</w:t>
            </w:r>
          </w:p>
        </w:tc>
        <w:tc>
          <w:tcPr>
            <w:tcW w:w="1084" w:type="dxa"/>
            <w:tcBorders>
              <w:top w:val="nil"/>
              <w:left w:val="nil"/>
              <w:bottom w:val="single" w:sz="4" w:space="0" w:color="auto"/>
              <w:right w:val="single" w:sz="4" w:space="0" w:color="auto"/>
            </w:tcBorders>
            <w:shd w:val="clear" w:color="auto" w:fill="auto"/>
            <w:vAlign w:val="center"/>
            <w:hideMark/>
          </w:tcPr>
          <w:p w14:paraId="5116EA5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0.572</w:t>
            </w:r>
          </w:p>
        </w:tc>
        <w:tc>
          <w:tcPr>
            <w:tcW w:w="1050" w:type="dxa"/>
            <w:tcBorders>
              <w:top w:val="nil"/>
              <w:left w:val="nil"/>
              <w:bottom w:val="single" w:sz="4" w:space="0" w:color="auto"/>
              <w:right w:val="single" w:sz="4" w:space="0" w:color="auto"/>
            </w:tcBorders>
            <w:shd w:val="clear" w:color="000000" w:fill="D9D9D9"/>
            <w:vAlign w:val="center"/>
            <w:hideMark/>
          </w:tcPr>
          <w:p w14:paraId="7728F6D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0.002</w:t>
            </w:r>
          </w:p>
        </w:tc>
        <w:tc>
          <w:tcPr>
            <w:tcW w:w="1050" w:type="dxa"/>
            <w:tcBorders>
              <w:top w:val="nil"/>
              <w:left w:val="nil"/>
              <w:bottom w:val="single" w:sz="4" w:space="0" w:color="auto"/>
              <w:right w:val="single" w:sz="4" w:space="0" w:color="auto"/>
            </w:tcBorders>
            <w:shd w:val="clear" w:color="auto" w:fill="auto"/>
            <w:vAlign w:val="center"/>
            <w:hideMark/>
          </w:tcPr>
          <w:p w14:paraId="7991FA1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0.29%</w:t>
            </w:r>
          </w:p>
        </w:tc>
        <w:tc>
          <w:tcPr>
            <w:tcW w:w="1119" w:type="dxa"/>
            <w:tcBorders>
              <w:top w:val="nil"/>
              <w:left w:val="nil"/>
              <w:bottom w:val="single" w:sz="4" w:space="0" w:color="auto"/>
              <w:right w:val="single" w:sz="4" w:space="0" w:color="auto"/>
            </w:tcBorders>
            <w:shd w:val="clear" w:color="000000" w:fill="D9D9D9"/>
            <w:vAlign w:val="center"/>
            <w:hideMark/>
          </w:tcPr>
          <w:p w14:paraId="7033D42A"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0.025</w:t>
            </w:r>
          </w:p>
        </w:tc>
      </w:tr>
      <w:tr w:rsidR="002D6208" w:rsidRPr="00C75BA1" w14:paraId="454B7EB1" w14:textId="77777777" w:rsidTr="006B08CB">
        <w:trPr>
          <w:trHeight w:val="303"/>
        </w:trPr>
        <w:tc>
          <w:tcPr>
            <w:tcW w:w="4152" w:type="dxa"/>
            <w:tcBorders>
              <w:top w:val="nil"/>
              <w:left w:val="single" w:sz="8" w:space="0" w:color="auto"/>
              <w:bottom w:val="single" w:sz="8" w:space="0" w:color="auto"/>
              <w:right w:val="single" w:sz="4" w:space="0" w:color="auto"/>
            </w:tcBorders>
            <w:shd w:val="clear" w:color="000000" w:fill="D9D9D9"/>
            <w:vAlign w:val="center"/>
            <w:hideMark/>
          </w:tcPr>
          <w:p w14:paraId="529B601A"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Resources</w:t>
            </w:r>
          </w:p>
        </w:tc>
        <w:tc>
          <w:tcPr>
            <w:tcW w:w="1084" w:type="dxa"/>
            <w:tcBorders>
              <w:top w:val="nil"/>
              <w:left w:val="nil"/>
              <w:bottom w:val="single" w:sz="8" w:space="0" w:color="auto"/>
              <w:right w:val="single" w:sz="4" w:space="0" w:color="auto"/>
            </w:tcBorders>
            <w:shd w:val="clear" w:color="000000" w:fill="D9D9D9"/>
            <w:vAlign w:val="center"/>
            <w:hideMark/>
          </w:tcPr>
          <w:p w14:paraId="2DC2A402"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42.353</w:t>
            </w:r>
          </w:p>
        </w:tc>
        <w:tc>
          <w:tcPr>
            <w:tcW w:w="1084" w:type="dxa"/>
            <w:tcBorders>
              <w:top w:val="nil"/>
              <w:left w:val="nil"/>
              <w:bottom w:val="single" w:sz="8" w:space="0" w:color="auto"/>
              <w:right w:val="single" w:sz="4" w:space="0" w:color="auto"/>
            </w:tcBorders>
            <w:shd w:val="clear" w:color="000000" w:fill="D9D9D9"/>
            <w:vAlign w:val="center"/>
            <w:hideMark/>
          </w:tcPr>
          <w:p w14:paraId="1F1A9D0C"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43.313</w:t>
            </w:r>
          </w:p>
        </w:tc>
        <w:tc>
          <w:tcPr>
            <w:tcW w:w="1050" w:type="dxa"/>
            <w:tcBorders>
              <w:top w:val="nil"/>
              <w:left w:val="nil"/>
              <w:bottom w:val="single" w:sz="8" w:space="0" w:color="auto"/>
              <w:right w:val="single" w:sz="4" w:space="0" w:color="auto"/>
            </w:tcBorders>
            <w:shd w:val="clear" w:color="000000" w:fill="D9D9D9"/>
            <w:vAlign w:val="center"/>
            <w:hideMark/>
          </w:tcPr>
          <w:p w14:paraId="5B07914D"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0.960</w:t>
            </w:r>
          </w:p>
        </w:tc>
        <w:tc>
          <w:tcPr>
            <w:tcW w:w="1050" w:type="dxa"/>
            <w:tcBorders>
              <w:top w:val="nil"/>
              <w:left w:val="nil"/>
              <w:bottom w:val="single" w:sz="8" w:space="0" w:color="auto"/>
              <w:right w:val="single" w:sz="4" w:space="0" w:color="auto"/>
            </w:tcBorders>
            <w:shd w:val="clear" w:color="000000" w:fill="D9D9D9"/>
            <w:vAlign w:val="center"/>
            <w:hideMark/>
          </w:tcPr>
          <w:p w14:paraId="4C5E1CCD"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2.27%</w:t>
            </w:r>
          </w:p>
        </w:tc>
        <w:tc>
          <w:tcPr>
            <w:tcW w:w="1119" w:type="dxa"/>
            <w:tcBorders>
              <w:top w:val="nil"/>
              <w:left w:val="nil"/>
              <w:bottom w:val="single" w:sz="8" w:space="0" w:color="auto"/>
              <w:right w:val="single" w:sz="4" w:space="0" w:color="auto"/>
            </w:tcBorders>
            <w:shd w:val="clear" w:color="000000" w:fill="D9D9D9"/>
            <w:vAlign w:val="center"/>
            <w:hideMark/>
          </w:tcPr>
          <w:p w14:paraId="5183B88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0.969</w:t>
            </w:r>
          </w:p>
        </w:tc>
      </w:tr>
      <w:tr w:rsidR="00C75BA1" w:rsidRPr="00C75BA1" w14:paraId="6A4ABD9D" w14:textId="77777777" w:rsidTr="006B08CB">
        <w:trPr>
          <w:trHeight w:val="289"/>
        </w:trPr>
        <w:tc>
          <w:tcPr>
            <w:tcW w:w="4152"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C48301A"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Lancashire Pension Fund</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786A538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-0.004</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221416A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-0.004</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77B6A53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4ED1BE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07553123"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-0.001</w:t>
            </w:r>
          </w:p>
        </w:tc>
      </w:tr>
      <w:tr w:rsidR="00C75BA1" w:rsidRPr="00C75BA1" w14:paraId="48D59FD2"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50592F30"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Exchequer Services</w:t>
            </w:r>
          </w:p>
        </w:tc>
        <w:tc>
          <w:tcPr>
            <w:tcW w:w="1084" w:type="dxa"/>
            <w:tcBorders>
              <w:top w:val="nil"/>
              <w:left w:val="nil"/>
              <w:bottom w:val="single" w:sz="4" w:space="0" w:color="auto"/>
              <w:right w:val="single" w:sz="4" w:space="0" w:color="auto"/>
            </w:tcBorders>
            <w:shd w:val="clear" w:color="auto" w:fill="auto"/>
            <w:vAlign w:val="center"/>
            <w:hideMark/>
          </w:tcPr>
          <w:p w14:paraId="087427A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4.319</w:t>
            </w:r>
          </w:p>
        </w:tc>
        <w:tc>
          <w:tcPr>
            <w:tcW w:w="1084" w:type="dxa"/>
            <w:tcBorders>
              <w:top w:val="nil"/>
              <w:left w:val="nil"/>
              <w:bottom w:val="single" w:sz="4" w:space="0" w:color="auto"/>
              <w:right w:val="single" w:sz="4" w:space="0" w:color="auto"/>
            </w:tcBorders>
            <w:shd w:val="clear" w:color="auto" w:fill="auto"/>
            <w:vAlign w:val="center"/>
            <w:hideMark/>
          </w:tcPr>
          <w:p w14:paraId="6B21AB4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4.289</w:t>
            </w:r>
          </w:p>
        </w:tc>
        <w:tc>
          <w:tcPr>
            <w:tcW w:w="1050" w:type="dxa"/>
            <w:tcBorders>
              <w:top w:val="nil"/>
              <w:left w:val="nil"/>
              <w:bottom w:val="single" w:sz="4" w:space="0" w:color="auto"/>
              <w:right w:val="single" w:sz="4" w:space="0" w:color="auto"/>
            </w:tcBorders>
            <w:shd w:val="clear" w:color="000000" w:fill="D9D9D9"/>
            <w:vAlign w:val="center"/>
            <w:hideMark/>
          </w:tcPr>
          <w:p w14:paraId="05B571F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-0.030</w:t>
            </w:r>
          </w:p>
        </w:tc>
        <w:tc>
          <w:tcPr>
            <w:tcW w:w="1050" w:type="dxa"/>
            <w:tcBorders>
              <w:top w:val="nil"/>
              <w:left w:val="nil"/>
              <w:bottom w:val="single" w:sz="4" w:space="0" w:color="auto"/>
              <w:right w:val="single" w:sz="4" w:space="0" w:color="auto"/>
            </w:tcBorders>
            <w:shd w:val="clear" w:color="auto" w:fill="auto"/>
            <w:vAlign w:val="center"/>
            <w:hideMark/>
          </w:tcPr>
          <w:p w14:paraId="1CE1747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-0.69%</w:t>
            </w:r>
          </w:p>
        </w:tc>
        <w:tc>
          <w:tcPr>
            <w:tcW w:w="1119" w:type="dxa"/>
            <w:tcBorders>
              <w:top w:val="nil"/>
              <w:left w:val="nil"/>
              <w:bottom w:val="single" w:sz="4" w:space="0" w:color="auto"/>
              <w:right w:val="single" w:sz="4" w:space="0" w:color="auto"/>
            </w:tcBorders>
            <w:shd w:val="clear" w:color="000000" w:fill="D9D9D9"/>
            <w:vAlign w:val="center"/>
            <w:hideMark/>
          </w:tcPr>
          <w:p w14:paraId="103E8088"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-0.151</w:t>
            </w:r>
          </w:p>
        </w:tc>
      </w:tr>
      <w:tr w:rsidR="00C75BA1" w:rsidRPr="00C75BA1" w14:paraId="2E57C0B9"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466120E4"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Financial Management (Development and Schools)</w:t>
            </w:r>
          </w:p>
        </w:tc>
        <w:tc>
          <w:tcPr>
            <w:tcW w:w="1084" w:type="dxa"/>
            <w:tcBorders>
              <w:top w:val="nil"/>
              <w:left w:val="nil"/>
              <w:bottom w:val="single" w:sz="4" w:space="0" w:color="auto"/>
              <w:right w:val="single" w:sz="4" w:space="0" w:color="auto"/>
            </w:tcBorders>
            <w:shd w:val="clear" w:color="auto" w:fill="auto"/>
            <w:vAlign w:val="center"/>
            <w:hideMark/>
          </w:tcPr>
          <w:p w14:paraId="1737B05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0.026</w:t>
            </w:r>
          </w:p>
        </w:tc>
        <w:tc>
          <w:tcPr>
            <w:tcW w:w="1084" w:type="dxa"/>
            <w:tcBorders>
              <w:top w:val="nil"/>
              <w:left w:val="nil"/>
              <w:bottom w:val="single" w:sz="4" w:space="0" w:color="auto"/>
              <w:right w:val="single" w:sz="4" w:space="0" w:color="auto"/>
            </w:tcBorders>
            <w:shd w:val="clear" w:color="auto" w:fill="auto"/>
            <w:vAlign w:val="center"/>
            <w:hideMark/>
          </w:tcPr>
          <w:p w14:paraId="4E75719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0.138</w:t>
            </w:r>
          </w:p>
        </w:tc>
        <w:tc>
          <w:tcPr>
            <w:tcW w:w="1050" w:type="dxa"/>
            <w:tcBorders>
              <w:top w:val="nil"/>
              <w:left w:val="nil"/>
              <w:bottom w:val="single" w:sz="4" w:space="0" w:color="auto"/>
              <w:right w:val="single" w:sz="4" w:space="0" w:color="auto"/>
            </w:tcBorders>
            <w:shd w:val="clear" w:color="000000" w:fill="D9D9D9"/>
            <w:vAlign w:val="center"/>
            <w:hideMark/>
          </w:tcPr>
          <w:p w14:paraId="0A949D1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0.112</w:t>
            </w:r>
          </w:p>
        </w:tc>
        <w:tc>
          <w:tcPr>
            <w:tcW w:w="1050" w:type="dxa"/>
            <w:tcBorders>
              <w:top w:val="nil"/>
              <w:left w:val="nil"/>
              <w:bottom w:val="single" w:sz="4" w:space="0" w:color="auto"/>
              <w:right w:val="single" w:sz="4" w:space="0" w:color="auto"/>
            </w:tcBorders>
            <w:shd w:val="clear" w:color="auto" w:fill="auto"/>
            <w:vAlign w:val="center"/>
            <w:hideMark/>
          </w:tcPr>
          <w:p w14:paraId="025AEA9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427.85%</w:t>
            </w:r>
          </w:p>
        </w:tc>
        <w:tc>
          <w:tcPr>
            <w:tcW w:w="1119" w:type="dxa"/>
            <w:tcBorders>
              <w:top w:val="nil"/>
              <w:left w:val="nil"/>
              <w:bottom w:val="single" w:sz="4" w:space="0" w:color="auto"/>
              <w:right w:val="single" w:sz="4" w:space="0" w:color="auto"/>
            </w:tcBorders>
            <w:shd w:val="clear" w:color="000000" w:fill="D9D9D9"/>
            <w:vAlign w:val="center"/>
            <w:hideMark/>
          </w:tcPr>
          <w:p w14:paraId="74E5C8DD"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0.118</w:t>
            </w:r>
          </w:p>
        </w:tc>
      </w:tr>
      <w:tr w:rsidR="00C75BA1" w:rsidRPr="00C75BA1" w14:paraId="5EB108EF"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77893C1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Financial Management (Operational)</w:t>
            </w:r>
          </w:p>
        </w:tc>
        <w:tc>
          <w:tcPr>
            <w:tcW w:w="1084" w:type="dxa"/>
            <w:tcBorders>
              <w:top w:val="nil"/>
              <w:left w:val="nil"/>
              <w:bottom w:val="single" w:sz="4" w:space="0" w:color="auto"/>
              <w:right w:val="single" w:sz="4" w:space="0" w:color="auto"/>
            </w:tcBorders>
            <w:shd w:val="clear" w:color="auto" w:fill="auto"/>
            <w:vAlign w:val="center"/>
            <w:hideMark/>
          </w:tcPr>
          <w:p w14:paraId="66D42C9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1.754</w:t>
            </w:r>
          </w:p>
        </w:tc>
        <w:tc>
          <w:tcPr>
            <w:tcW w:w="1084" w:type="dxa"/>
            <w:tcBorders>
              <w:top w:val="nil"/>
              <w:left w:val="nil"/>
              <w:bottom w:val="single" w:sz="4" w:space="0" w:color="auto"/>
              <w:right w:val="single" w:sz="4" w:space="0" w:color="auto"/>
            </w:tcBorders>
            <w:shd w:val="clear" w:color="auto" w:fill="auto"/>
            <w:vAlign w:val="center"/>
            <w:hideMark/>
          </w:tcPr>
          <w:p w14:paraId="74C00AC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1.751</w:t>
            </w:r>
          </w:p>
        </w:tc>
        <w:tc>
          <w:tcPr>
            <w:tcW w:w="1050" w:type="dxa"/>
            <w:tcBorders>
              <w:top w:val="nil"/>
              <w:left w:val="nil"/>
              <w:bottom w:val="single" w:sz="4" w:space="0" w:color="auto"/>
              <w:right w:val="single" w:sz="4" w:space="0" w:color="auto"/>
            </w:tcBorders>
            <w:shd w:val="clear" w:color="000000" w:fill="D9D9D9"/>
            <w:vAlign w:val="center"/>
            <w:hideMark/>
          </w:tcPr>
          <w:p w14:paraId="06695CCB"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-0.003</w:t>
            </w:r>
          </w:p>
        </w:tc>
        <w:tc>
          <w:tcPr>
            <w:tcW w:w="1050" w:type="dxa"/>
            <w:tcBorders>
              <w:top w:val="nil"/>
              <w:left w:val="nil"/>
              <w:bottom w:val="single" w:sz="4" w:space="0" w:color="auto"/>
              <w:right w:val="single" w:sz="4" w:space="0" w:color="auto"/>
            </w:tcBorders>
            <w:shd w:val="clear" w:color="auto" w:fill="auto"/>
            <w:vAlign w:val="center"/>
            <w:hideMark/>
          </w:tcPr>
          <w:p w14:paraId="131980B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-0.17%</w:t>
            </w:r>
          </w:p>
        </w:tc>
        <w:tc>
          <w:tcPr>
            <w:tcW w:w="1119" w:type="dxa"/>
            <w:tcBorders>
              <w:top w:val="nil"/>
              <w:left w:val="nil"/>
              <w:bottom w:val="single" w:sz="4" w:space="0" w:color="auto"/>
              <w:right w:val="single" w:sz="4" w:space="0" w:color="auto"/>
            </w:tcBorders>
            <w:shd w:val="clear" w:color="000000" w:fill="D9D9D9"/>
            <w:vAlign w:val="center"/>
            <w:hideMark/>
          </w:tcPr>
          <w:p w14:paraId="546C6D7C"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0.001</w:t>
            </w:r>
          </w:p>
        </w:tc>
      </w:tr>
      <w:tr w:rsidR="00C75BA1" w:rsidRPr="00C75BA1" w14:paraId="27405507"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48B09F53"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Corporate Finance</w:t>
            </w:r>
          </w:p>
        </w:tc>
        <w:tc>
          <w:tcPr>
            <w:tcW w:w="1084" w:type="dxa"/>
            <w:tcBorders>
              <w:top w:val="nil"/>
              <w:left w:val="nil"/>
              <w:bottom w:val="single" w:sz="4" w:space="0" w:color="auto"/>
              <w:right w:val="single" w:sz="4" w:space="0" w:color="auto"/>
            </w:tcBorders>
            <w:shd w:val="clear" w:color="auto" w:fill="auto"/>
            <w:vAlign w:val="center"/>
            <w:hideMark/>
          </w:tcPr>
          <w:p w14:paraId="3ADD1F9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8.405</w:t>
            </w:r>
          </w:p>
        </w:tc>
        <w:tc>
          <w:tcPr>
            <w:tcW w:w="1084" w:type="dxa"/>
            <w:tcBorders>
              <w:top w:val="nil"/>
              <w:left w:val="nil"/>
              <w:bottom w:val="single" w:sz="4" w:space="0" w:color="auto"/>
              <w:right w:val="single" w:sz="4" w:space="0" w:color="auto"/>
            </w:tcBorders>
            <w:shd w:val="clear" w:color="auto" w:fill="auto"/>
            <w:vAlign w:val="center"/>
            <w:hideMark/>
          </w:tcPr>
          <w:p w14:paraId="50111DD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8.177</w:t>
            </w:r>
          </w:p>
        </w:tc>
        <w:tc>
          <w:tcPr>
            <w:tcW w:w="1050" w:type="dxa"/>
            <w:tcBorders>
              <w:top w:val="nil"/>
              <w:left w:val="nil"/>
              <w:bottom w:val="single" w:sz="4" w:space="0" w:color="auto"/>
              <w:right w:val="single" w:sz="4" w:space="0" w:color="auto"/>
            </w:tcBorders>
            <w:shd w:val="clear" w:color="000000" w:fill="D9D9D9"/>
            <w:vAlign w:val="center"/>
            <w:hideMark/>
          </w:tcPr>
          <w:p w14:paraId="3BB3DB3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-0.228</w:t>
            </w:r>
          </w:p>
        </w:tc>
        <w:tc>
          <w:tcPr>
            <w:tcW w:w="1050" w:type="dxa"/>
            <w:tcBorders>
              <w:top w:val="nil"/>
              <w:left w:val="nil"/>
              <w:bottom w:val="single" w:sz="4" w:space="0" w:color="auto"/>
              <w:right w:val="single" w:sz="4" w:space="0" w:color="auto"/>
            </w:tcBorders>
            <w:shd w:val="clear" w:color="auto" w:fill="auto"/>
            <w:vAlign w:val="center"/>
            <w:hideMark/>
          </w:tcPr>
          <w:p w14:paraId="7DEC9ED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-2.71%</w:t>
            </w:r>
          </w:p>
        </w:tc>
        <w:tc>
          <w:tcPr>
            <w:tcW w:w="1119" w:type="dxa"/>
            <w:tcBorders>
              <w:top w:val="nil"/>
              <w:left w:val="nil"/>
              <w:bottom w:val="single" w:sz="4" w:space="0" w:color="auto"/>
              <w:right w:val="single" w:sz="4" w:space="0" w:color="auto"/>
            </w:tcBorders>
            <w:shd w:val="clear" w:color="000000" w:fill="D9D9D9"/>
            <w:vAlign w:val="center"/>
            <w:hideMark/>
          </w:tcPr>
          <w:p w14:paraId="7996BF93"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-0.234</w:t>
            </w:r>
          </w:p>
        </w:tc>
      </w:tr>
      <w:tr w:rsidR="00C75BA1" w:rsidRPr="00C75BA1" w14:paraId="1D10F76D"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6A0AB34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Payroll Services</w:t>
            </w:r>
          </w:p>
        </w:tc>
        <w:tc>
          <w:tcPr>
            <w:tcW w:w="1084" w:type="dxa"/>
            <w:tcBorders>
              <w:top w:val="nil"/>
              <w:left w:val="nil"/>
              <w:bottom w:val="single" w:sz="4" w:space="0" w:color="auto"/>
              <w:right w:val="single" w:sz="4" w:space="0" w:color="auto"/>
            </w:tcBorders>
            <w:shd w:val="clear" w:color="auto" w:fill="auto"/>
            <w:vAlign w:val="center"/>
            <w:hideMark/>
          </w:tcPr>
          <w:p w14:paraId="378D6EE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1.057</w:t>
            </w:r>
          </w:p>
        </w:tc>
        <w:tc>
          <w:tcPr>
            <w:tcW w:w="1084" w:type="dxa"/>
            <w:tcBorders>
              <w:top w:val="nil"/>
              <w:left w:val="nil"/>
              <w:bottom w:val="single" w:sz="4" w:space="0" w:color="auto"/>
              <w:right w:val="single" w:sz="4" w:space="0" w:color="auto"/>
            </w:tcBorders>
            <w:shd w:val="clear" w:color="auto" w:fill="auto"/>
            <w:vAlign w:val="center"/>
            <w:hideMark/>
          </w:tcPr>
          <w:p w14:paraId="47E5981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1.076</w:t>
            </w:r>
          </w:p>
        </w:tc>
        <w:tc>
          <w:tcPr>
            <w:tcW w:w="1050" w:type="dxa"/>
            <w:tcBorders>
              <w:top w:val="nil"/>
              <w:left w:val="nil"/>
              <w:bottom w:val="single" w:sz="4" w:space="0" w:color="auto"/>
              <w:right w:val="single" w:sz="4" w:space="0" w:color="auto"/>
            </w:tcBorders>
            <w:shd w:val="clear" w:color="000000" w:fill="D9D9D9"/>
            <w:vAlign w:val="center"/>
            <w:hideMark/>
          </w:tcPr>
          <w:p w14:paraId="4E09BA2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0.020</w:t>
            </w:r>
          </w:p>
        </w:tc>
        <w:tc>
          <w:tcPr>
            <w:tcW w:w="1050" w:type="dxa"/>
            <w:tcBorders>
              <w:top w:val="nil"/>
              <w:left w:val="nil"/>
              <w:bottom w:val="single" w:sz="4" w:space="0" w:color="auto"/>
              <w:right w:val="single" w:sz="4" w:space="0" w:color="auto"/>
            </w:tcBorders>
            <w:shd w:val="clear" w:color="auto" w:fill="auto"/>
            <w:vAlign w:val="center"/>
            <w:hideMark/>
          </w:tcPr>
          <w:p w14:paraId="66380CD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1.88%</w:t>
            </w:r>
          </w:p>
        </w:tc>
        <w:tc>
          <w:tcPr>
            <w:tcW w:w="1119" w:type="dxa"/>
            <w:tcBorders>
              <w:top w:val="nil"/>
              <w:left w:val="nil"/>
              <w:bottom w:val="single" w:sz="4" w:space="0" w:color="auto"/>
              <w:right w:val="single" w:sz="4" w:space="0" w:color="auto"/>
            </w:tcBorders>
            <w:shd w:val="clear" w:color="000000" w:fill="D9D9D9"/>
            <w:vAlign w:val="center"/>
            <w:hideMark/>
          </w:tcPr>
          <w:p w14:paraId="0F5077CF"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0.020</w:t>
            </w:r>
          </w:p>
        </w:tc>
      </w:tr>
      <w:tr w:rsidR="00C75BA1" w:rsidRPr="00C75BA1" w14:paraId="2C1653C1"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2EF0BF0E"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Procurement</w:t>
            </w:r>
          </w:p>
        </w:tc>
        <w:tc>
          <w:tcPr>
            <w:tcW w:w="1084" w:type="dxa"/>
            <w:tcBorders>
              <w:top w:val="nil"/>
              <w:left w:val="nil"/>
              <w:bottom w:val="single" w:sz="4" w:space="0" w:color="auto"/>
              <w:right w:val="single" w:sz="4" w:space="0" w:color="auto"/>
            </w:tcBorders>
            <w:shd w:val="clear" w:color="auto" w:fill="auto"/>
            <w:vAlign w:val="center"/>
            <w:hideMark/>
          </w:tcPr>
          <w:p w14:paraId="64DE473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2.275</w:t>
            </w:r>
          </w:p>
        </w:tc>
        <w:tc>
          <w:tcPr>
            <w:tcW w:w="1084" w:type="dxa"/>
            <w:tcBorders>
              <w:top w:val="nil"/>
              <w:left w:val="nil"/>
              <w:bottom w:val="single" w:sz="4" w:space="0" w:color="auto"/>
              <w:right w:val="single" w:sz="4" w:space="0" w:color="auto"/>
            </w:tcBorders>
            <w:shd w:val="clear" w:color="auto" w:fill="auto"/>
            <w:vAlign w:val="center"/>
            <w:hideMark/>
          </w:tcPr>
          <w:p w14:paraId="3E5FD01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2.360</w:t>
            </w:r>
          </w:p>
        </w:tc>
        <w:tc>
          <w:tcPr>
            <w:tcW w:w="1050" w:type="dxa"/>
            <w:tcBorders>
              <w:top w:val="nil"/>
              <w:left w:val="nil"/>
              <w:bottom w:val="single" w:sz="4" w:space="0" w:color="auto"/>
              <w:right w:val="single" w:sz="4" w:space="0" w:color="auto"/>
            </w:tcBorders>
            <w:shd w:val="clear" w:color="000000" w:fill="D9D9D9"/>
            <w:vAlign w:val="center"/>
            <w:hideMark/>
          </w:tcPr>
          <w:p w14:paraId="7CBFEA6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0.085</w:t>
            </w:r>
          </w:p>
        </w:tc>
        <w:tc>
          <w:tcPr>
            <w:tcW w:w="1050" w:type="dxa"/>
            <w:tcBorders>
              <w:top w:val="nil"/>
              <w:left w:val="nil"/>
              <w:bottom w:val="single" w:sz="4" w:space="0" w:color="auto"/>
              <w:right w:val="single" w:sz="4" w:space="0" w:color="auto"/>
            </w:tcBorders>
            <w:shd w:val="clear" w:color="auto" w:fill="auto"/>
            <w:vAlign w:val="center"/>
            <w:hideMark/>
          </w:tcPr>
          <w:p w14:paraId="698FA97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3.74%</w:t>
            </w:r>
          </w:p>
        </w:tc>
        <w:tc>
          <w:tcPr>
            <w:tcW w:w="1119" w:type="dxa"/>
            <w:tcBorders>
              <w:top w:val="nil"/>
              <w:left w:val="nil"/>
              <w:bottom w:val="single" w:sz="4" w:space="0" w:color="auto"/>
              <w:right w:val="single" w:sz="4" w:space="0" w:color="auto"/>
            </w:tcBorders>
            <w:shd w:val="clear" w:color="000000" w:fill="D9D9D9"/>
            <w:vAlign w:val="center"/>
            <w:hideMark/>
          </w:tcPr>
          <w:p w14:paraId="4765EBDD"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0.022</w:t>
            </w:r>
          </w:p>
        </w:tc>
      </w:tr>
      <w:tr w:rsidR="00C75BA1" w:rsidRPr="00C75BA1" w14:paraId="5AE6CD7D"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6F97DE1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Internal Audit</w:t>
            </w:r>
          </w:p>
        </w:tc>
        <w:tc>
          <w:tcPr>
            <w:tcW w:w="1084" w:type="dxa"/>
            <w:tcBorders>
              <w:top w:val="nil"/>
              <w:left w:val="nil"/>
              <w:bottom w:val="single" w:sz="4" w:space="0" w:color="auto"/>
              <w:right w:val="single" w:sz="4" w:space="0" w:color="auto"/>
            </w:tcBorders>
            <w:shd w:val="clear" w:color="auto" w:fill="auto"/>
            <w:vAlign w:val="center"/>
            <w:hideMark/>
          </w:tcPr>
          <w:p w14:paraId="3030F7E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0.827</w:t>
            </w:r>
          </w:p>
        </w:tc>
        <w:tc>
          <w:tcPr>
            <w:tcW w:w="1084" w:type="dxa"/>
            <w:tcBorders>
              <w:top w:val="nil"/>
              <w:left w:val="nil"/>
              <w:bottom w:val="single" w:sz="4" w:space="0" w:color="auto"/>
              <w:right w:val="single" w:sz="4" w:space="0" w:color="auto"/>
            </w:tcBorders>
            <w:shd w:val="clear" w:color="auto" w:fill="auto"/>
            <w:vAlign w:val="center"/>
            <w:hideMark/>
          </w:tcPr>
          <w:p w14:paraId="61A3D61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0.860</w:t>
            </w:r>
          </w:p>
        </w:tc>
        <w:tc>
          <w:tcPr>
            <w:tcW w:w="1050" w:type="dxa"/>
            <w:tcBorders>
              <w:top w:val="nil"/>
              <w:left w:val="nil"/>
              <w:bottom w:val="single" w:sz="4" w:space="0" w:color="auto"/>
              <w:right w:val="single" w:sz="4" w:space="0" w:color="auto"/>
            </w:tcBorders>
            <w:shd w:val="clear" w:color="000000" w:fill="D9D9D9"/>
            <w:vAlign w:val="center"/>
            <w:hideMark/>
          </w:tcPr>
          <w:p w14:paraId="6559743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0.033</w:t>
            </w:r>
          </w:p>
        </w:tc>
        <w:tc>
          <w:tcPr>
            <w:tcW w:w="1050" w:type="dxa"/>
            <w:tcBorders>
              <w:top w:val="nil"/>
              <w:left w:val="nil"/>
              <w:bottom w:val="single" w:sz="4" w:space="0" w:color="auto"/>
              <w:right w:val="single" w:sz="4" w:space="0" w:color="auto"/>
            </w:tcBorders>
            <w:shd w:val="clear" w:color="auto" w:fill="auto"/>
            <w:vAlign w:val="center"/>
            <w:hideMark/>
          </w:tcPr>
          <w:p w14:paraId="33CC5AD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4.05%</w:t>
            </w:r>
          </w:p>
        </w:tc>
        <w:tc>
          <w:tcPr>
            <w:tcW w:w="1119" w:type="dxa"/>
            <w:tcBorders>
              <w:top w:val="nil"/>
              <w:left w:val="nil"/>
              <w:bottom w:val="single" w:sz="4" w:space="0" w:color="auto"/>
              <w:right w:val="single" w:sz="4" w:space="0" w:color="auto"/>
            </w:tcBorders>
            <w:shd w:val="clear" w:color="000000" w:fill="D9D9D9"/>
            <w:vAlign w:val="center"/>
            <w:hideMark/>
          </w:tcPr>
          <w:p w14:paraId="41C5C36C"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0.038</w:t>
            </w:r>
          </w:p>
        </w:tc>
      </w:tr>
      <w:tr w:rsidR="002D6208" w:rsidRPr="00C75BA1" w14:paraId="6B56E708" w14:textId="77777777" w:rsidTr="006B08CB">
        <w:trPr>
          <w:trHeight w:val="303"/>
        </w:trPr>
        <w:tc>
          <w:tcPr>
            <w:tcW w:w="4152" w:type="dxa"/>
            <w:tcBorders>
              <w:top w:val="nil"/>
              <w:left w:val="single" w:sz="8" w:space="0" w:color="auto"/>
              <w:bottom w:val="single" w:sz="8" w:space="0" w:color="auto"/>
              <w:right w:val="single" w:sz="4" w:space="0" w:color="auto"/>
            </w:tcBorders>
            <w:shd w:val="clear" w:color="000000" w:fill="D9D9D9"/>
            <w:vAlign w:val="center"/>
            <w:hideMark/>
          </w:tcPr>
          <w:p w14:paraId="63662AA5"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Finance Services</w:t>
            </w:r>
          </w:p>
        </w:tc>
        <w:tc>
          <w:tcPr>
            <w:tcW w:w="1084" w:type="dxa"/>
            <w:tcBorders>
              <w:top w:val="nil"/>
              <w:left w:val="nil"/>
              <w:bottom w:val="single" w:sz="8" w:space="0" w:color="auto"/>
              <w:right w:val="single" w:sz="4" w:space="0" w:color="auto"/>
            </w:tcBorders>
            <w:shd w:val="clear" w:color="000000" w:fill="D9D9D9"/>
            <w:vAlign w:val="center"/>
            <w:hideMark/>
          </w:tcPr>
          <w:p w14:paraId="617EEDE8"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18.658</w:t>
            </w:r>
          </w:p>
        </w:tc>
        <w:tc>
          <w:tcPr>
            <w:tcW w:w="1084" w:type="dxa"/>
            <w:tcBorders>
              <w:top w:val="nil"/>
              <w:left w:val="nil"/>
              <w:bottom w:val="single" w:sz="8" w:space="0" w:color="auto"/>
              <w:right w:val="single" w:sz="4" w:space="0" w:color="auto"/>
            </w:tcBorders>
            <w:shd w:val="clear" w:color="000000" w:fill="D9D9D9"/>
            <w:vAlign w:val="center"/>
            <w:hideMark/>
          </w:tcPr>
          <w:p w14:paraId="5D79C1AF"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18.648</w:t>
            </w:r>
          </w:p>
        </w:tc>
        <w:tc>
          <w:tcPr>
            <w:tcW w:w="1050" w:type="dxa"/>
            <w:tcBorders>
              <w:top w:val="nil"/>
              <w:left w:val="nil"/>
              <w:bottom w:val="single" w:sz="8" w:space="0" w:color="auto"/>
              <w:right w:val="single" w:sz="4" w:space="0" w:color="auto"/>
            </w:tcBorders>
            <w:shd w:val="clear" w:color="000000" w:fill="D9D9D9"/>
            <w:vAlign w:val="center"/>
            <w:hideMark/>
          </w:tcPr>
          <w:p w14:paraId="23083FB3"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-0.011</w:t>
            </w:r>
          </w:p>
        </w:tc>
        <w:tc>
          <w:tcPr>
            <w:tcW w:w="1050" w:type="dxa"/>
            <w:tcBorders>
              <w:top w:val="nil"/>
              <w:left w:val="nil"/>
              <w:bottom w:val="single" w:sz="8" w:space="0" w:color="auto"/>
              <w:right w:val="single" w:sz="4" w:space="0" w:color="auto"/>
            </w:tcBorders>
            <w:shd w:val="clear" w:color="000000" w:fill="D9D9D9"/>
            <w:vAlign w:val="center"/>
            <w:hideMark/>
          </w:tcPr>
          <w:p w14:paraId="0E8089CD"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-0.06%</w:t>
            </w:r>
          </w:p>
        </w:tc>
        <w:tc>
          <w:tcPr>
            <w:tcW w:w="1119" w:type="dxa"/>
            <w:tcBorders>
              <w:top w:val="nil"/>
              <w:left w:val="nil"/>
              <w:bottom w:val="single" w:sz="8" w:space="0" w:color="auto"/>
              <w:right w:val="single" w:sz="4" w:space="0" w:color="auto"/>
            </w:tcBorders>
            <w:shd w:val="clear" w:color="000000" w:fill="D9D9D9"/>
            <w:vAlign w:val="center"/>
            <w:hideMark/>
          </w:tcPr>
          <w:p w14:paraId="743333C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-0.187</w:t>
            </w:r>
          </w:p>
        </w:tc>
      </w:tr>
      <w:tr w:rsidR="00C75BA1" w:rsidRPr="00C75BA1" w14:paraId="6E629F9F" w14:textId="77777777" w:rsidTr="006B08CB">
        <w:trPr>
          <w:trHeight w:val="289"/>
        </w:trPr>
        <w:tc>
          <w:tcPr>
            <w:tcW w:w="4152"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FEA1A82"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Service Assurance</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5307F02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21.214</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7293E20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20.709</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2E53F22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-0.504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657E801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-2.38%</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4104C0BB"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-0.603</w:t>
            </w:r>
          </w:p>
        </w:tc>
      </w:tr>
      <w:tr w:rsidR="00C75BA1" w:rsidRPr="00C75BA1" w14:paraId="487C72B1"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589280DC"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Digital Business Engagement</w:t>
            </w:r>
          </w:p>
        </w:tc>
        <w:tc>
          <w:tcPr>
            <w:tcW w:w="1084" w:type="dxa"/>
            <w:tcBorders>
              <w:top w:val="nil"/>
              <w:left w:val="nil"/>
              <w:bottom w:val="single" w:sz="4" w:space="0" w:color="auto"/>
              <w:right w:val="single" w:sz="4" w:space="0" w:color="auto"/>
            </w:tcBorders>
            <w:shd w:val="clear" w:color="auto" w:fill="auto"/>
            <w:vAlign w:val="center"/>
            <w:hideMark/>
          </w:tcPr>
          <w:p w14:paraId="0766598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2.282</w:t>
            </w:r>
          </w:p>
        </w:tc>
        <w:tc>
          <w:tcPr>
            <w:tcW w:w="1084" w:type="dxa"/>
            <w:tcBorders>
              <w:top w:val="nil"/>
              <w:left w:val="nil"/>
              <w:bottom w:val="single" w:sz="4" w:space="0" w:color="auto"/>
              <w:right w:val="single" w:sz="4" w:space="0" w:color="auto"/>
            </w:tcBorders>
            <w:shd w:val="clear" w:color="auto" w:fill="auto"/>
            <w:vAlign w:val="center"/>
            <w:hideMark/>
          </w:tcPr>
          <w:p w14:paraId="7C866A0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2.101</w:t>
            </w:r>
          </w:p>
        </w:tc>
        <w:tc>
          <w:tcPr>
            <w:tcW w:w="1050" w:type="dxa"/>
            <w:tcBorders>
              <w:top w:val="nil"/>
              <w:left w:val="nil"/>
              <w:bottom w:val="single" w:sz="4" w:space="0" w:color="auto"/>
              <w:right w:val="single" w:sz="4" w:space="0" w:color="auto"/>
            </w:tcBorders>
            <w:shd w:val="clear" w:color="000000" w:fill="D9D9D9"/>
            <w:vAlign w:val="center"/>
            <w:hideMark/>
          </w:tcPr>
          <w:p w14:paraId="4B9FBA9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-0.181</w:t>
            </w:r>
          </w:p>
        </w:tc>
        <w:tc>
          <w:tcPr>
            <w:tcW w:w="1050" w:type="dxa"/>
            <w:tcBorders>
              <w:top w:val="nil"/>
              <w:left w:val="nil"/>
              <w:bottom w:val="single" w:sz="4" w:space="0" w:color="auto"/>
              <w:right w:val="single" w:sz="4" w:space="0" w:color="auto"/>
            </w:tcBorders>
            <w:shd w:val="clear" w:color="auto" w:fill="auto"/>
            <w:vAlign w:val="center"/>
            <w:hideMark/>
          </w:tcPr>
          <w:p w14:paraId="49C6C19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-7.94%</w:t>
            </w:r>
          </w:p>
        </w:tc>
        <w:tc>
          <w:tcPr>
            <w:tcW w:w="1119" w:type="dxa"/>
            <w:tcBorders>
              <w:top w:val="nil"/>
              <w:left w:val="nil"/>
              <w:bottom w:val="single" w:sz="4" w:space="0" w:color="auto"/>
              <w:right w:val="single" w:sz="4" w:space="0" w:color="auto"/>
            </w:tcBorders>
            <w:shd w:val="clear" w:color="000000" w:fill="D9D9D9"/>
            <w:vAlign w:val="center"/>
            <w:hideMark/>
          </w:tcPr>
          <w:p w14:paraId="68FCE224"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-0.259</w:t>
            </w:r>
          </w:p>
        </w:tc>
      </w:tr>
      <w:tr w:rsidR="00C75BA1" w:rsidRPr="00C75BA1" w14:paraId="21245B3C"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6948D48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 xml:space="preserve">Design &amp; </w:t>
            </w:r>
            <w:proofErr w:type="gramStart"/>
            <w:r w:rsidRPr="00C75BA1">
              <w:rPr>
                <w:rFonts w:eastAsia="Times New Roman" w:cs="Arial"/>
                <w:sz w:val="20"/>
                <w:szCs w:val="20"/>
                <w:lang w:eastAsia="en-GB"/>
              </w:rPr>
              <w:t>Implement</w:t>
            </w:r>
            <w:proofErr w:type="gramEnd"/>
          </w:p>
        </w:tc>
        <w:tc>
          <w:tcPr>
            <w:tcW w:w="1084" w:type="dxa"/>
            <w:tcBorders>
              <w:top w:val="nil"/>
              <w:left w:val="nil"/>
              <w:bottom w:val="single" w:sz="4" w:space="0" w:color="auto"/>
              <w:right w:val="single" w:sz="4" w:space="0" w:color="auto"/>
            </w:tcBorders>
            <w:shd w:val="clear" w:color="auto" w:fill="auto"/>
            <w:vAlign w:val="center"/>
            <w:hideMark/>
          </w:tcPr>
          <w:p w14:paraId="2A0F26C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5.446</w:t>
            </w:r>
          </w:p>
        </w:tc>
        <w:tc>
          <w:tcPr>
            <w:tcW w:w="1084" w:type="dxa"/>
            <w:tcBorders>
              <w:top w:val="nil"/>
              <w:left w:val="nil"/>
              <w:bottom w:val="single" w:sz="4" w:space="0" w:color="auto"/>
              <w:right w:val="single" w:sz="4" w:space="0" w:color="auto"/>
            </w:tcBorders>
            <w:shd w:val="clear" w:color="auto" w:fill="auto"/>
            <w:vAlign w:val="center"/>
            <w:hideMark/>
          </w:tcPr>
          <w:p w14:paraId="224F55F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5.317</w:t>
            </w:r>
          </w:p>
        </w:tc>
        <w:tc>
          <w:tcPr>
            <w:tcW w:w="1050" w:type="dxa"/>
            <w:tcBorders>
              <w:top w:val="nil"/>
              <w:left w:val="nil"/>
              <w:bottom w:val="single" w:sz="4" w:space="0" w:color="auto"/>
              <w:right w:val="single" w:sz="4" w:space="0" w:color="auto"/>
            </w:tcBorders>
            <w:shd w:val="clear" w:color="000000" w:fill="D9D9D9"/>
            <w:vAlign w:val="center"/>
            <w:hideMark/>
          </w:tcPr>
          <w:p w14:paraId="58A0DA7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-0.128</w:t>
            </w:r>
          </w:p>
        </w:tc>
        <w:tc>
          <w:tcPr>
            <w:tcW w:w="1050" w:type="dxa"/>
            <w:tcBorders>
              <w:top w:val="nil"/>
              <w:left w:val="nil"/>
              <w:bottom w:val="single" w:sz="4" w:space="0" w:color="auto"/>
              <w:right w:val="single" w:sz="4" w:space="0" w:color="auto"/>
            </w:tcBorders>
            <w:shd w:val="clear" w:color="auto" w:fill="auto"/>
            <w:vAlign w:val="center"/>
            <w:hideMark/>
          </w:tcPr>
          <w:p w14:paraId="2DEAC261"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-2.35%</w:t>
            </w:r>
          </w:p>
        </w:tc>
        <w:tc>
          <w:tcPr>
            <w:tcW w:w="1119" w:type="dxa"/>
            <w:tcBorders>
              <w:top w:val="nil"/>
              <w:left w:val="nil"/>
              <w:bottom w:val="single" w:sz="4" w:space="0" w:color="auto"/>
              <w:right w:val="single" w:sz="4" w:space="0" w:color="auto"/>
            </w:tcBorders>
            <w:shd w:val="clear" w:color="000000" w:fill="D9D9D9"/>
            <w:vAlign w:val="center"/>
            <w:hideMark/>
          </w:tcPr>
          <w:p w14:paraId="222FDC55"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0.010</w:t>
            </w:r>
          </w:p>
        </w:tc>
      </w:tr>
      <w:tr w:rsidR="00C75BA1" w:rsidRPr="00C75BA1" w14:paraId="284D043B"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0ACCC2AD"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Operate</w:t>
            </w:r>
          </w:p>
        </w:tc>
        <w:tc>
          <w:tcPr>
            <w:tcW w:w="1084" w:type="dxa"/>
            <w:tcBorders>
              <w:top w:val="nil"/>
              <w:left w:val="nil"/>
              <w:bottom w:val="single" w:sz="4" w:space="0" w:color="auto"/>
              <w:right w:val="single" w:sz="4" w:space="0" w:color="auto"/>
            </w:tcBorders>
            <w:shd w:val="clear" w:color="auto" w:fill="auto"/>
            <w:vAlign w:val="center"/>
            <w:hideMark/>
          </w:tcPr>
          <w:p w14:paraId="6C550AF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3.748</w:t>
            </w:r>
          </w:p>
        </w:tc>
        <w:tc>
          <w:tcPr>
            <w:tcW w:w="1084" w:type="dxa"/>
            <w:tcBorders>
              <w:top w:val="nil"/>
              <w:left w:val="nil"/>
              <w:bottom w:val="single" w:sz="4" w:space="0" w:color="auto"/>
              <w:right w:val="single" w:sz="4" w:space="0" w:color="auto"/>
            </w:tcBorders>
            <w:shd w:val="clear" w:color="auto" w:fill="auto"/>
            <w:vAlign w:val="center"/>
            <w:hideMark/>
          </w:tcPr>
          <w:p w14:paraId="15926E5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3.439</w:t>
            </w:r>
          </w:p>
        </w:tc>
        <w:tc>
          <w:tcPr>
            <w:tcW w:w="1050" w:type="dxa"/>
            <w:tcBorders>
              <w:top w:val="nil"/>
              <w:left w:val="nil"/>
              <w:bottom w:val="single" w:sz="4" w:space="0" w:color="auto"/>
              <w:right w:val="single" w:sz="4" w:space="0" w:color="auto"/>
            </w:tcBorders>
            <w:shd w:val="clear" w:color="000000" w:fill="D9D9D9"/>
            <w:vAlign w:val="center"/>
            <w:hideMark/>
          </w:tcPr>
          <w:p w14:paraId="2D9FB38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-0.309</w:t>
            </w:r>
          </w:p>
        </w:tc>
        <w:tc>
          <w:tcPr>
            <w:tcW w:w="1050" w:type="dxa"/>
            <w:tcBorders>
              <w:top w:val="nil"/>
              <w:left w:val="nil"/>
              <w:bottom w:val="single" w:sz="4" w:space="0" w:color="auto"/>
              <w:right w:val="single" w:sz="4" w:space="0" w:color="auto"/>
            </w:tcBorders>
            <w:shd w:val="clear" w:color="auto" w:fill="auto"/>
            <w:vAlign w:val="center"/>
            <w:hideMark/>
          </w:tcPr>
          <w:p w14:paraId="62B73D8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-8.24%</w:t>
            </w:r>
          </w:p>
        </w:tc>
        <w:tc>
          <w:tcPr>
            <w:tcW w:w="1119" w:type="dxa"/>
            <w:tcBorders>
              <w:top w:val="nil"/>
              <w:left w:val="nil"/>
              <w:bottom w:val="single" w:sz="4" w:space="0" w:color="auto"/>
              <w:right w:val="single" w:sz="4" w:space="0" w:color="auto"/>
            </w:tcBorders>
            <w:shd w:val="clear" w:color="000000" w:fill="D9D9D9"/>
            <w:vAlign w:val="center"/>
            <w:hideMark/>
          </w:tcPr>
          <w:p w14:paraId="2AC024B5"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-0.034</w:t>
            </w:r>
          </w:p>
        </w:tc>
      </w:tr>
      <w:tr w:rsidR="00C75BA1" w:rsidRPr="00C75BA1" w14:paraId="6CCCC37C"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2DA8020F"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Architecture</w:t>
            </w:r>
          </w:p>
        </w:tc>
        <w:tc>
          <w:tcPr>
            <w:tcW w:w="1084" w:type="dxa"/>
            <w:tcBorders>
              <w:top w:val="nil"/>
              <w:left w:val="nil"/>
              <w:bottom w:val="single" w:sz="4" w:space="0" w:color="auto"/>
              <w:right w:val="single" w:sz="4" w:space="0" w:color="auto"/>
            </w:tcBorders>
            <w:shd w:val="clear" w:color="auto" w:fill="auto"/>
            <w:vAlign w:val="center"/>
            <w:hideMark/>
          </w:tcPr>
          <w:p w14:paraId="2163BCE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1.111</w:t>
            </w:r>
          </w:p>
        </w:tc>
        <w:tc>
          <w:tcPr>
            <w:tcW w:w="1084" w:type="dxa"/>
            <w:tcBorders>
              <w:top w:val="nil"/>
              <w:left w:val="nil"/>
              <w:bottom w:val="single" w:sz="4" w:space="0" w:color="auto"/>
              <w:right w:val="single" w:sz="4" w:space="0" w:color="auto"/>
            </w:tcBorders>
            <w:shd w:val="clear" w:color="auto" w:fill="auto"/>
            <w:vAlign w:val="center"/>
            <w:hideMark/>
          </w:tcPr>
          <w:p w14:paraId="0A52163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1.000</w:t>
            </w:r>
          </w:p>
        </w:tc>
        <w:tc>
          <w:tcPr>
            <w:tcW w:w="1050" w:type="dxa"/>
            <w:tcBorders>
              <w:top w:val="nil"/>
              <w:left w:val="nil"/>
              <w:bottom w:val="single" w:sz="4" w:space="0" w:color="auto"/>
              <w:right w:val="single" w:sz="4" w:space="0" w:color="auto"/>
            </w:tcBorders>
            <w:shd w:val="clear" w:color="000000" w:fill="D9D9D9"/>
            <w:vAlign w:val="center"/>
            <w:hideMark/>
          </w:tcPr>
          <w:p w14:paraId="0A2B66A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-0.112</w:t>
            </w:r>
          </w:p>
        </w:tc>
        <w:tc>
          <w:tcPr>
            <w:tcW w:w="1050" w:type="dxa"/>
            <w:tcBorders>
              <w:top w:val="nil"/>
              <w:left w:val="nil"/>
              <w:bottom w:val="single" w:sz="4" w:space="0" w:color="auto"/>
              <w:right w:val="single" w:sz="4" w:space="0" w:color="auto"/>
            </w:tcBorders>
            <w:shd w:val="clear" w:color="auto" w:fill="auto"/>
            <w:vAlign w:val="center"/>
            <w:hideMark/>
          </w:tcPr>
          <w:p w14:paraId="3E0E7F6B"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-10.05%</w:t>
            </w:r>
          </w:p>
        </w:tc>
        <w:tc>
          <w:tcPr>
            <w:tcW w:w="1119" w:type="dxa"/>
            <w:tcBorders>
              <w:top w:val="nil"/>
              <w:left w:val="nil"/>
              <w:bottom w:val="single" w:sz="4" w:space="0" w:color="auto"/>
              <w:right w:val="single" w:sz="4" w:space="0" w:color="auto"/>
            </w:tcBorders>
            <w:shd w:val="clear" w:color="000000" w:fill="D9D9D9"/>
            <w:vAlign w:val="center"/>
            <w:hideMark/>
          </w:tcPr>
          <w:p w14:paraId="4D3B08C8"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-0.154</w:t>
            </w:r>
          </w:p>
        </w:tc>
      </w:tr>
      <w:tr w:rsidR="00C75BA1" w:rsidRPr="00C75BA1" w14:paraId="4AEE3F69"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06745C4B"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Data</w:t>
            </w:r>
          </w:p>
        </w:tc>
        <w:tc>
          <w:tcPr>
            <w:tcW w:w="1084" w:type="dxa"/>
            <w:tcBorders>
              <w:top w:val="nil"/>
              <w:left w:val="nil"/>
              <w:bottom w:val="single" w:sz="4" w:space="0" w:color="auto"/>
              <w:right w:val="single" w:sz="4" w:space="0" w:color="auto"/>
            </w:tcBorders>
            <w:shd w:val="clear" w:color="auto" w:fill="auto"/>
            <w:vAlign w:val="center"/>
            <w:hideMark/>
          </w:tcPr>
          <w:p w14:paraId="3905609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084" w:type="dxa"/>
            <w:tcBorders>
              <w:top w:val="nil"/>
              <w:left w:val="nil"/>
              <w:bottom w:val="single" w:sz="4" w:space="0" w:color="auto"/>
              <w:right w:val="single" w:sz="4" w:space="0" w:color="auto"/>
            </w:tcBorders>
            <w:shd w:val="clear" w:color="auto" w:fill="auto"/>
            <w:vAlign w:val="center"/>
            <w:hideMark/>
          </w:tcPr>
          <w:p w14:paraId="1E58702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050" w:type="dxa"/>
            <w:tcBorders>
              <w:top w:val="nil"/>
              <w:left w:val="nil"/>
              <w:bottom w:val="single" w:sz="4" w:space="0" w:color="auto"/>
              <w:right w:val="single" w:sz="4" w:space="0" w:color="auto"/>
            </w:tcBorders>
            <w:shd w:val="clear" w:color="000000" w:fill="D9D9D9"/>
            <w:vAlign w:val="center"/>
            <w:hideMark/>
          </w:tcPr>
          <w:p w14:paraId="41D37171"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050" w:type="dxa"/>
            <w:tcBorders>
              <w:top w:val="nil"/>
              <w:left w:val="nil"/>
              <w:bottom w:val="single" w:sz="4" w:space="0" w:color="auto"/>
              <w:right w:val="single" w:sz="4" w:space="0" w:color="auto"/>
            </w:tcBorders>
            <w:shd w:val="clear" w:color="auto" w:fill="auto"/>
            <w:vAlign w:val="center"/>
            <w:hideMark/>
          </w:tcPr>
          <w:p w14:paraId="67B3DDC1"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#DIV/0!</w:t>
            </w:r>
          </w:p>
        </w:tc>
        <w:tc>
          <w:tcPr>
            <w:tcW w:w="1119" w:type="dxa"/>
            <w:tcBorders>
              <w:top w:val="nil"/>
              <w:left w:val="nil"/>
              <w:bottom w:val="single" w:sz="4" w:space="0" w:color="auto"/>
              <w:right w:val="single" w:sz="4" w:space="0" w:color="auto"/>
            </w:tcBorders>
            <w:shd w:val="clear" w:color="000000" w:fill="D9D9D9"/>
            <w:vAlign w:val="center"/>
            <w:hideMark/>
          </w:tcPr>
          <w:p w14:paraId="7A4F2FEB"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0.000</w:t>
            </w:r>
          </w:p>
        </w:tc>
      </w:tr>
      <w:tr w:rsidR="002D6208" w:rsidRPr="00C75BA1" w14:paraId="2655D370" w14:textId="77777777" w:rsidTr="006B08CB">
        <w:trPr>
          <w:trHeight w:val="303"/>
        </w:trPr>
        <w:tc>
          <w:tcPr>
            <w:tcW w:w="4152" w:type="dxa"/>
            <w:tcBorders>
              <w:top w:val="nil"/>
              <w:left w:val="single" w:sz="8" w:space="0" w:color="auto"/>
              <w:bottom w:val="single" w:sz="8" w:space="0" w:color="auto"/>
              <w:right w:val="single" w:sz="4" w:space="0" w:color="auto"/>
            </w:tcBorders>
            <w:shd w:val="clear" w:color="000000" w:fill="D9D9D9"/>
            <w:vAlign w:val="center"/>
            <w:hideMark/>
          </w:tcPr>
          <w:p w14:paraId="31036E7F"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Digital Service</w:t>
            </w:r>
          </w:p>
        </w:tc>
        <w:tc>
          <w:tcPr>
            <w:tcW w:w="1084" w:type="dxa"/>
            <w:tcBorders>
              <w:top w:val="nil"/>
              <w:left w:val="nil"/>
              <w:bottom w:val="single" w:sz="8" w:space="0" w:color="auto"/>
              <w:right w:val="single" w:sz="4" w:space="0" w:color="auto"/>
            </w:tcBorders>
            <w:shd w:val="clear" w:color="000000" w:fill="D9D9D9"/>
            <w:vAlign w:val="center"/>
            <w:hideMark/>
          </w:tcPr>
          <w:p w14:paraId="6BB2BF52"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33.801</w:t>
            </w:r>
          </w:p>
        </w:tc>
        <w:tc>
          <w:tcPr>
            <w:tcW w:w="1084" w:type="dxa"/>
            <w:tcBorders>
              <w:top w:val="nil"/>
              <w:left w:val="nil"/>
              <w:bottom w:val="single" w:sz="8" w:space="0" w:color="auto"/>
              <w:right w:val="single" w:sz="4" w:space="0" w:color="auto"/>
            </w:tcBorders>
            <w:shd w:val="clear" w:color="000000" w:fill="D9D9D9"/>
            <w:vAlign w:val="center"/>
            <w:hideMark/>
          </w:tcPr>
          <w:p w14:paraId="4362AE0A"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32.567</w:t>
            </w:r>
          </w:p>
        </w:tc>
        <w:tc>
          <w:tcPr>
            <w:tcW w:w="1050" w:type="dxa"/>
            <w:tcBorders>
              <w:top w:val="nil"/>
              <w:left w:val="nil"/>
              <w:bottom w:val="single" w:sz="8" w:space="0" w:color="auto"/>
              <w:right w:val="single" w:sz="4" w:space="0" w:color="auto"/>
            </w:tcBorders>
            <w:shd w:val="clear" w:color="000000" w:fill="D9D9D9"/>
            <w:vAlign w:val="center"/>
            <w:hideMark/>
          </w:tcPr>
          <w:p w14:paraId="3BBB9C36"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-1.234</w:t>
            </w:r>
          </w:p>
        </w:tc>
        <w:tc>
          <w:tcPr>
            <w:tcW w:w="1050" w:type="dxa"/>
            <w:tcBorders>
              <w:top w:val="nil"/>
              <w:left w:val="nil"/>
              <w:bottom w:val="single" w:sz="8" w:space="0" w:color="auto"/>
              <w:right w:val="single" w:sz="4" w:space="0" w:color="auto"/>
            </w:tcBorders>
            <w:shd w:val="clear" w:color="000000" w:fill="D9D9D9"/>
            <w:vAlign w:val="center"/>
            <w:hideMark/>
          </w:tcPr>
          <w:p w14:paraId="276490A5"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-3.65%</w:t>
            </w:r>
          </w:p>
        </w:tc>
        <w:tc>
          <w:tcPr>
            <w:tcW w:w="1119" w:type="dxa"/>
            <w:tcBorders>
              <w:top w:val="nil"/>
              <w:left w:val="nil"/>
              <w:bottom w:val="single" w:sz="8" w:space="0" w:color="auto"/>
              <w:right w:val="single" w:sz="4" w:space="0" w:color="auto"/>
            </w:tcBorders>
            <w:shd w:val="clear" w:color="000000" w:fill="D9D9D9"/>
            <w:vAlign w:val="center"/>
            <w:hideMark/>
          </w:tcPr>
          <w:p w14:paraId="580DD94A"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-1.042</w:t>
            </w:r>
          </w:p>
        </w:tc>
      </w:tr>
      <w:tr w:rsidR="00C75BA1" w:rsidRPr="00C75BA1" w14:paraId="1CB21983" w14:textId="77777777" w:rsidTr="006B08CB">
        <w:trPr>
          <w:trHeight w:val="289"/>
        </w:trPr>
        <w:tc>
          <w:tcPr>
            <w:tcW w:w="4152"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59D2436" w14:textId="1F32D0AA" w:rsidR="00C75BA1" w:rsidRPr="00C75BA1" w:rsidRDefault="00C75BA1" w:rsidP="00C75BA1">
            <w:pPr>
              <w:autoSpaceDE/>
              <w:autoSpaceDN/>
              <w:adjustRightInd/>
              <w:spacing w:after="0"/>
              <w:jc w:val="left"/>
              <w:rPr>
                <w:rFonts w:eastAsia="Times New Roman" w:cs="Arial"/>
                <w:color w:val="auto"/>
                <w:sz w:val="20"/>
                <w:szCs w:val="20"/>
                <w:lang w:eastAsia="en-GB"/>
              </w:rPr>
            </w:pPr>
            <w:r w:rsidRPr="00C75BA1">
              <w:rPr>
                <w:rFonts w:eastAsia="Times New Roman" w:cs="Arial"/>
                <w:color w:val="auto"/>
                <w:sz w:val="20"/>
                <w:szCs w:val="20"/>
                <w:lang w:eastAsia="en-GB"/>
              </w:rPr>
              <w:t xml:space="preserve">Corporate Strategy </w:t>
            </w:r>
            <w:r w:rsidR="006B08CB">
              <w:rPr>
                <w:rFonts w:eastAsia="Times New Roman" w:cs="Arial"/>
                <w:color w:val="auto"/>
                <w:sz w:val="20"/>
                <w:szCs w:val="20"/>
                <w:lang w:eastAsia="en-GB"/>
              </w:rPr>
              <w:t>a</w:t>
            </w:r>
            <w:r w:rsidRPr="00C75BA1">
              <w:rPr>
                <w:rFonts w:eastAsia="Times New Roman" w:cs="Arial"/>
                <w:color w:val="auto"/>
                <w:sz w:val="20"/>
                <w:szCs w:val="20"/>
                <w:lang w:eastAsia="en-GB"/>
              </w:rPr>
              <w:t>nd Policy</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3883121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175AF55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17821E4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5CFB12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#DIV/0!</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3BCC0394"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0.000</w:t>
            </w:r>
          </w:p>
        </w:tc>
      </w:tr>
      <w:tr w:rsidR="00C75BA1" w:rsidRPr="00C75BA1" w14:paraId="6641BDEB"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77897AC6"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Facilities Management</w:t>
            </w:r>
          </w:p>
        </w:tc>
        <w:tc>
          <w:tcPr>
            <w:tcW w:w="1084" w:type="dxa"/>
            <w:tcBorders>
              <w:top w:val="nil"/>
              <w:left w:val="nil"/>
              <w:bottom w:val="single" w:sz="4" w:space="0" w:color="auto"/>
              <w:right w:val="single" w:sz="4" w:space="0" w:color="auto"/>
            </w:tcBorders>
            <w:shd w:val="clear" w:color="auto" w:fill="auto"/>
            <w:vAlign w:val="center"/>
            <w:hideMark/>
          </w:tcPr>
          <w:p w14:paraId="7037E301"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23.041</w:t>
            </w:r>
          </w:p>
        </w:tc>
        <w:tc>
          <w:tcPr>
            <w:tcW w:w="1084" w:type="dxa"/>
            <w:tcBorders>
              <w:top w:val="nil"/>
              <w:left w:val="nil"/>
              <w:bottom w:val="single" w:sz="4" w:space="0" w:color="auto"/>
              <w:right w:val="single" w:sz="4" w:space="0" w:color="auto"/>
            </w:tcBorders>
            <w:shd w:val="clear" w:color="auto" w:fill="auto"/>
            <w:vAlign w:val="center"/>
            <w:hideMark/>
          </w:tcPr>
          <w:p w14:paraId="2B0C9EE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24.640</w:t>
            </w:r>
          </w:p>
        </w:tc>
        <w:tc>
          <w:tcPr>
            <w:tcW w:w="1050" w:type="dxa"/>
            <w:tcBorders>
              <w:top w:val="nil"/>
              <w:left w:val="nil"/>
              <w:bottom w:val="single" w:sz="4" w:space="0" w:color="auto"/>
              <w:right w:val="single" w:sz="4" w:space="0" w:color="auto"/>
            </w:tcBorders>
            <w:shd w:val="clear" w:color="000000" w:fill="D9D9D9"/>
            <w:vAlign w:val="center"/>
            <w:hideMark/>
          </w:tcPr>
          <w:p w14:paraId="1E39531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1.599</w:t>
            </w:r>
          </w:p>
        </w:tc>
        <w:tc>
          <w:tcPr>
            <w:tcW w:w="1050" w:type="dxa"/>
            <w:tcBorders>
              <w:top w:val="nil"/>
              <w:left w:val="nil"/>
              <w:bottom w:val="single" w:sz="4" w:space="0" w:color="auto"/>
              <w:right w:val="single" w:sz="4" w:space="0" w:color="auto"/>
            </w:tcBorders>
            <w:shd w:val="clear" w:color="auto" w:fill="auto"/>
            <w:vAlign w:val="center"/>
            <w:hideMark/>
          </w:tcPr>
          <w:p w14:paraId="1835A2A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6.94%</w:t>
            </w:r>
          </w:p>
        </w:tc>
        <w:tc>
          <w:tcPr>
            <w:tcW w:w="1119" w:type="dxa"/>
            <w:tcBorders>
              <w:top w:val="nil"/>
              <w:left w:val="nil"/>
              <w:bottom w:val="single" w:sz="4" w:space="0" w:color="auto"/>
              <w:right w:val="single" w:sz="4" w:space="0" w:color="auto"/>
            </w:tcBorders>
            <w:shd w:val="clear" w:color="000000" w:fill="D9D9D9"/>
            <w:vAlign w:val="center"/>
            <w:hideMark/>
          </w:tcPr>
          <w:p w14:paraId="5CACA4F9"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1.514</w:t>
            </w:r>
          </w:p>
        </w:tc>
      </w:tr>
      <w:tr w:rsidR="00C75BA1" w:rsidRPr="00C75BA1" w14:paraId="56440B46"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031FDBEF"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Asset Management</w:t>
            </w:r>
          </w:p>
        </w:tc>
        <w:tc>
          <w:tcPr>
            <w:tcW w:w="1084" w:type="dxa"/>
            <w:tcBorders>
              <w:top w:val="nil"/>
              <w:left w:val="nil"/>
              <w:bottom w:val="single" w:sz="4" w:space="0" w:color="auto"/>
              <w:right w:val="single" w:sz="4" w:space="0" w:color="auto"/>
            </w:tcBorders>
            <w:shd w:val="clear" w:color="auto" w:fill="auto"/>
            <w:vAlign w:val="center"/>
            <w:hideMark/>
          </w:tcPr>
          <w:p w14:paraId="7845011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9.164</w:t>
            </w:r>
          </w:p>
        </w:tc>
        <w:tc>
          <w:tcPr>
            <w:tcW w:w="1084" w:type="dxa"/>
            <w:tcBorders>
              <w:top w:val="nil"/>
              <w:left w:val="nil"/>
              <w:bottom w:val="single" w:sz="4" w:space="0" w:color="auto"/>
              <w:right w:val="single" w:sz="4" w:space="0" w:color="auto"/>
            </w:tcBorders>
            <w:shd w:val="clear" w:color="auto" w:fill="auto"/>
            <w:vAlign w:val="center"/>
            <w:hideMark/>
          </w:tcPr>
          <w:p w14:paraId="0A47C21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8.711</w:t>
            </w:r>
          </w:p>
        </w:tc>
        <w:tc>
          <w:tcPr>
            <w:tcW w:w="1050" w:type="dxa"/>
            <w:tcBorders>
              <w:top w:val="nil"/>
              <w:left w:val="nil"/>
              <w:bottom w:val="single" w:sz="4" w:space="0" w:color="auto"/>
              <w:right w:val="single" w:sz="4" w:space="0" w:color="auto"/>
            </w:tcBorders>
            <w:shd w:val="clear" w:color="000000" w:fill="D9D9D9"/>
            <w:vAlign w:val="center"/>
            <w:hideMark/>
          </w:tcPr>
          <w:p w14:paraId="7DED20E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-0.453</w:t>
            </w:r>
          </w:p>
        </w:tc>
        <w:tc>
          <w:tcPr>
            <w:tcW w:w="1050" w:type="dxa"/>
            <w:tcBorders>
              <w:top w:val="nil"/>
              <w:left w:val="nil"/>
              <w:bottom w:val="single" w:sz="4" w:space="0" w:color="auto"/>
              <w:right w:val="single" w:sz="4" w:space="0" w:color="auto"/>
            </w:tcBorders>
            <w:shd w:val="clear" w:color="auto" w:fill="auto"/>
            <w:vAlign w:val="center"/>
            <w:hideMark/>
          </w:tcPr>
          <w:p w14:paraId="0D141B2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-4.94%</w:t>
            </w:r>
          </w:p>
        </w:tc>
        <w:tc>
          <w:tcPr>
            <w:tcW w:w="1119" w:type="dxa"/>
            <w:tcBorders>
              <w:top w:val="nil"/>
              <w:left w:val="nil"/>
              <w:bottom w:val="single" w:sz="4" w:space="0" w:color="auto"/>
              <w:right w:val="single" w:sz="4" w:space="0" w:color="auto"/>
            </w:tcBorders>
            <w:shd w:val="clear" w:color="000000" w:fill="D9D9D9"/>
            <w:vAlign w:val="center"/>
            <w:hideMark/>
          </w:tcPr>
          <w:p w14:paraId="57619954"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-0.537</w:t>
            </w:r>
          </w:p>
        </w:tc>
      </w:tr>
      <w:tr w:rsidR="00C75BA1" w:rsidRPr="00C75BA1" w14:paraId="55820FCB"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0B715B84"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Business Intelligence</w:t>
            </w:r>
          </w:p>
        </w:tc>
        <w:tc>
          <w:tcPr>
            <w:tcW w:w="1084" w:type="dxa"/>
            <w:tcBorders>
              <w:top w:val="nil"/>
              <w:left w:val="nil"/>
              <w:bottom w:val="single" w:sz="4" w:space="0" w:color="auto"/>
              <w:right w:val="single" w:sz="4" w:space="0" w:color="auto"/>
            </w:tcBorders>
            <w:shd w:val="clear" w:color="auto" w:fill="auto"/>
            <w:vAlign w:val="center"/>
            <w:hideMark/>
          </w:tcPr>
          <w:p w14:paraId="16D09DB0"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1.502</w:t>
            </w:r>
          </w:p>
        </w:tc>
        <w:tc>
          <w:tcPr>
            <w:tcW w:w="1084" w:type="dxa"/>
            <w:tcBorders>
              <w:top w:val="nil"/>
              <w:left w:val="nil"/>
              <w:bottom w:val="single" w:sz="4" w:space="0" w:color="auto"/>
              <w:right w:val="single" w:sz="4" w:space="0" w:color="auto"/>
            </w:tcBorders>
            <w:shd w:val="clear" w:color="auto" w:fill="auto"/>
            <w:vAlign w:val="center"/>
            <w:hideMark/>
          </w:tcPr>
          <w:p w14:paraId="5C3E2E6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1.468</w:t>
            </w:r>
          </w:p>
        </w:tc>
        <w:tc>
          <w:tcPr>
            <w:tcW w:w="1050" w:type="dxa"/>
            <w:tcBorders>
              <w:top w:val="nil"/>
              <w:left w:val="nil"/>
              <w:bottom w:val="single" w:sz="4" w:space="0" w:color="auto"/>
              <w:right w:val="single" w:sz="4" w:space="0" w:color="auto"/>
            </w:tcBorders>
            <w:shd w:val="clear" w:color="000000" w:fill="D9D9D9"/>
            <w:vAlign w:val="center"/>
            <w:hideMark/>
          </w:tcPr>
          <w:p w14:paraId="5886C12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-0.034</w:t>
            </w:r>
          </w:p>
        </w:tc>
        <w:tc>
          <w:tcPr>
            <w:tcW w:w="1050" w:type="dxa"/>
            <w:tcBorders>
              <w:top w:val="nil"/>
              <w:left w:val="nil"/>
              <w:bottom w:val="single" w:sz="4" w:space="0" w:color="auto"/>
              <w:right w:val="single" w:sz="4" w:space="0" w:color="auto"/>
            </w:tcBorders>
            <w:shd w:val="clear" w:color="auto" w:fill="auto"/>
            <w:vAlign w:val="center"/>
            <w:hideMark/>
          </w:tcPr>
          <w:p w14:paraId="44AC63D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-2.27%</w:t>
            </w:r>
          </w:p>
        </w:tc>
        <w:tc>
          <w:tcPr>
            <w:tcW w:w="1119" w:type="dxa"/>
            <w:tcBorders>
              <w:top w:val="nil"/>
              <w:left w:val="nil"/>
              <w:bottom w:val="single" w:sz="4" w:space="0" w:color="auto"/>
              <w:right w:val="single" w:sz="4" w:space="0" w:color="auto"/>
            </w:tcBorders>
            <w:shd w:val="clear" w:color="000000" w:fill="D9D9D9"/>
            <w:vAlign w:val="center"/>
            <w:hideMark/>
          </w:tcPr>
          <w:p w14:paraId="247FCA56"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-0.016</w:t>
            </w:r>
          </w:p>
        </w:tc>
      </w:tr>
      <w:tr w:rsidR="002D6208" w:rsidRPr="00C75BA1" w14:paraId="22D74030" w14:textId="77777777" w:rsidTr="006B08CB">
        <w:trPr>
          <w:trHeight w:val="303"/>
        </w:trPr>
        <w:tc>
          <w:tcPr>
            <w:tcW w:w="4152" w:type="dxa"/>
            <w:tcBorders>
              <w:top w:val="nil"/>
              <w:left w:val="single" w:sz="8" w:space="0" w:color="auto"/>
              <w:bottom w:val="single" w:sz="8" w:space="0" w:color="auto"/>
              <w:right w:val="single" w:sz="4" w:space="0" w:color="auto"/>
            </w:tcBorders>
            <w:shd w:val="clear" w:color="000000" w:fill="D9D9D9"/>
            <w:vAlign w:val="center"/>
            <w:hideMark/>
          </w:tcPr>
          <w:p w14:paraId="79A4D4AE" w14:textId="57A6DAFB"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 xml:space="preserve">Total Strategy </w:t>
            </w:r>
            <w:r w:rsidR="006B08CB">
              <w:rPr>
                <w:rFonts w:eastAsia="Times New Roman" w:cs="Arial"/>
                <w:b/>
                <w:bCs/>
                <w:sz w:val="20"/>
                <w:szCs w:val="20"/>
                <w:lang w:eastAsia="en-GB"/>
              </w:rPr>
              <w:t>a</w:t>
            </w:r>
            <w:r w:rsidRPr="00C75BA1">
              <w:rPr>
                <w:rFonts w:eastAsia="Times New Roman" w:cs="Arial"/>
                <w:b/>
                <w:bCs/>
                <w:sz w:val="20"/>
                <w:szCs w:val="20"/>
                <w:lang w:eastAsia="en-GB"/>
              </w:rPr>
              <w:t>nd Performance</w:t>
            </w:r>
          </w:p>
        </w:tc>
        <w:tc>
          <w:tcPr>
            <w:tcW w:w="1084" w:type="dxa"/>
            <w:tcBorders>
              <w:top w:val="nil"/>
              <w:left w:val="nil"/>
              <w:bottom w:val="single" w:sz="8" w:space="0" w:color="auto"/>
              <w:right w:val="single" w:sz="4" w:space="0" w:color="auto"/>
            </w:tcBorders>
            <w:shd w:val="clear" w:color="000000" w:fill="D9D9D9"/>
            <w:vAlign w:val="center"/>
            <w:hideMark/>
          </w:tcPr>
          <w:p w14:paraId="438013A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33.707</w:t>
            </w:r>
          </w:p>
        </w:tc>
        <w:tc>
          <w:tcPr>
            <w:tcW w:w="1084" w:type="dxa"/>
            <w:tcBorders>
              <w:top w:val="nil"/>
              <w:left w:val="nil"/>
              <w:bottom w:val="single" w:sz="8" w:space="0" w:color="auto"/>
              <w:right w:val="single" w:sz="4" w:space="0" w:color="auto"/>
            </w:tcBorders>
            <w:shd w:val="clear" w:color="000000" w:fill="D9D9D9"/>
            <w:vAlign w:val="center"/>
            <w:hideMark/>
          </w:tcPr>
          <w:p w14:paraId="237F55B9"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34.818</w:t>
            </w:r>
          </w:p>
        </w:tc>
        <w:tc>
          <w:tcPr>
            <w:tcW w:w="1050" w:type="dxa"/>
            <w:tcBorders>
              <w:top w:val="nil"/>
              <w:left w:val="nil"/>
              <w:bottom w:val="single" w:sz="8" w:space="0" w:color="auto"/>
              <w:right w:val="single" w:sz="4" w:space="0" w:color="auto"/>
            </w:tcBorders>
            <w:shd w:val="clear" w:color="000000" w:fill="D9D9D9"/>
            <w:vAlign w:val="center"/>
            <w:hideMark/>
          </w:tcPr>
          <w:p w14:paraId="67086270"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1.112</w:t>
            </w:r>
          </w:p>
        </w:tc>
        <w:tc>
          <w:tcPr>
            <w:tcW w:w="1050" w:type="dxa"/>
            <w:tcBorders>
              <w:top w:val="nil"/>
              <w:left w:val="nil"/>
              <w:bottom w:val="single" w:sz="8" w:space="0" w:color="auto"/>
              <w:right w:val="single" w:sz="4" w:space="0" w:color="auto"/>
            </w:tcBorders>
            <w:shd w:val="clear" w:color="000000" w:fill="D9D9D9"/>
            <w:vAlign w:val="center"/>
            <w:hideMark/>
          </w:tcPr>
          <w:p w14:paraId="47B5406C"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3.30%</w:t>
            </w:r>
          </w:p>
        </w:tc>
        <w:tc>
          <w:tcPr>
            <w:tcW w:w="1119" w:type="dxa"/>
            <w:tcBorders>
              <w:top w:val="nil"/>
              <w:left w:val="nil"/>
              <w:bottom w:val="single" w:sz="8" w:space="0" w:color="auto"/>
              <w:right w:val="single" w:sz="4" w:space="0" w:color="auto"/>
            </w:tcBorders>
            <w:shd w:val="clear" w:color="000000" w:fill="D9D9D9"/>
            <w:vAlign w:val="center"/>
            <w:hideMark/>
          </w:tcPr>
          <w:p w14:paraId="0F7551FE"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0.960</w:t>
            </w:r>
          </w:p>
        </w:tc>
      </w:tr>
      <w:tr w:rsidR="00C75BA1" w:rsidRPr="00C75BA1" w14:paraId="19217D7C" w14:textId="77777777" w:rsidTr="006B08CB">
        <w:trPr>
          <w:trHeight w:val="289"/>
        </w:trPr>
        <w:tc>
          <w:tcPr>
            <w:tcW w:w="4152"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6C62CC8"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Coroner's Service</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BB0C91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2.458</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781FB91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2.553</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740DA99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0.094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B30AD4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3.84%</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25751E8B"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0.127</w:t>
            </w:r>
          </w:p>
        </w:tc>
      </w:tr>
      <w:tr w:rsidR="00C75BA1" w:rsidRPr="00C75BA1" w14:paraId="2657B0B2"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34D7C05C"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Legal and Governance Services</w:t>
            </w:r>
          </w:p>
        </w:tc>
        <w:tc>
          <w:tcPr>
            <w:tcW w:w="1084" w:type="dxa"/>
            <w:tcBorders>
              <w:top w:val="nil"/>
              <w:left w:val="nil"/>
              <w:bottom w:val="single" w:sz="4" w:space="0" w:color="auto"/>
              <w:right w:val="single" w:sz="4" w:space="0" w:color="auto"/>
            </w:tcBorders>
            <w:shd w:val="clear" w:color="auto" w:fill="auto"/>
            <w:vAlign w:val="center"/>
            <w:hideMark/>
          </w:tcPr>
          <w:p w14:paraId="53FB59B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15.664</w:t>
            </w:r>
          </w:p>
        </w:tc>
        <w:tc>
          <w:tcPr>
            <w:tcW w:w="1084" w:type="dxa"/>
            <w:tcBorders>
              <w:top w:val="nil"/>
              <w:left w:val="nil"/>
              <w:bottom w:val="single" w:sz="4" w:space="0" w:color="auto"/>
              <w:right w:val="single" w:sz="4" w:space="0" w:color="auto"/>
            </w:tcBorders>
            <w:shd w:val="clear" w:color="auto" w:fill="auto"/>
            <w:vAlign w:val="center"/>
            <w:hideMark/>
          </w:tcPr>
          <w:p w14:paraId="6CAEC36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16.163</w:t>
            </w:r>
          </w:p>
        </w:tc>
        <w:tc>
          <w:tcPr>
            <w:tcW w:w="1050" w:type="dxa"/>
            <w:tcBorders>
              <w:top w:val="nil"/>
              <w:left w:val="nil"/>
              <w:bottom w:val="single" w:sz="4" w:space="0" w:color="auto"/>
              <w:right w:val="single" w:sz="4" w:space="0" w:color="auto"/>
            </w:tcBorders>
            <w:shd w:val="clear" w:color="000000" w:fill="D9D9D9"/>
            <w:vAlign w:val="center"/>
            <w:hideMark/>
          </w:tcPr>
          <w:p w14:paraId="078C6B5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0.499</w:t>
            </w:r>
          </w:p>
        </w:tc>
        <w:tc>
          <w:tcPr>
            <w:tcW w:w="1050" w:type="dxa"/>
            <w:tcBorders>
              <w:top w:val="nil"/>
              <w:left w:val="nil"/>
              <w:bottom w:val="single" w:sz="4" w:space="0" w:color="auto"/>
              <w:right w:val="single" w:sz="4" w:space="0" w:color="auto"/>
            </w:tcBorders>
            <w:shd w:val="clear" w:color="auto" w:fill="auto"/>
            <w:vAlign w:val="center"/>
            <w:hideMark/>
          </w:tcPr>
          <w:p w14:paraId="30FFBA4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3.19%</w:t>
            </w:r>
          </w:p>
        </w:tc>
        <w:tc>
          <w:tcPr>
            <w:tcW w:w="1119" w:type="dxa"/>
            <w:tcBorders>
              <w:top w:val="nil"/>
              <w:left w:val="nil"/>
              <w:bottom w:val="single" w:sz="4" w:space="0" w:color="auto"/>
              <w:right w:val="single" w:sz="4" w:space="0" w:color="auto"/>
            </w:tcBorders>
            <w:shd w:val="clear" w:color="000000" w:fill="D9D9D9"/>
            <w:vAlign w:val="center"/>
            <w:hideMark/>
          </w:tcPr>
          <w:p w14:paraId="5D9B3546"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0.388</w:t>
            </w:r>
          </w:p>
        </w:tc>
      </w:tr>
      <w:tr w:rsidR="00C75BA1" w:rsidRPr="00C75BA1" w14:paraId="4172354B"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0D227695"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Registration Service</w:t>
            </w:r>
          </w:p>
        </w:tc>
        <w:tc>
          <w:tcPr>
            <w:tcW w:w="1084" w:type="dxa"/>
            <w:tcBorders>
              <w:top w:val="nil"/>
              <w:left w:val="nil"/>
              <w:bottom w:val="single" w:sz="4" w:space="0" w:color="auto"/>
              <w:right w:val="single" w:sz="4" w:space="0" w:color="auto"/>
            </w:tcBorders>
            <w:shd w:val="clear" w:color="auto" w:fill="auto"/>
            <w:vAlign w:val="center"/>
            <w:hideMark/>
          </w:tcPr>
          <w:p w14:paraId="7E2BE467"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-0.193</w:t>
            </w:r>
          </w:p>
        </w:tc>
        <w:tc>
          <w:tcPr>
            <w:tcW w:w="1084" w:type="dxa"/>
            <w:tcBorders>
              <w:top w:val="nil"/>
              <w:left w:val="nil"/>
              <w:bottom w:val="single" w:sz="4" w:space="0" w:color="auto"/>
              <w:right w:val="single" w:sz="4" w:space="0" w:color="auto"/>
            </w:tcBorders>
            <w:shd w:val="clear" w:color="auto" w:fill="auto"/>
            <w:vAlign w:val="center"/>
            <w:hideMark/>
          </w:tcPr>
          <w:p w14:paraId="74E63F0C"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0.260</w:t>
            </w:r>
          </w:p>
        </w:tc>
        <w:tc>
          <w:tcPr>
            <w:tcW w:w="1050" w:type="dxa"/>
            <w:tcBorders>
              <w:top w:val="nil"/>
              <w:left w:val="nil"/>
              <w:bottom w:val="single" w:sz="4" w:space="0" w:color="auto"/>
              <w:right w:val="single" w:sz="4" w:space="0" w:color="auto"/>
            </w:tcBorders>
            <w:shd w:val="clear" w:color="000000" w:fill="D9D9D9"/>
            <w:vAlign w:val="center"/>
            <w:hideMark/>
          </w:tcPr>
          <w:p w14:paraId="400DA47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0.453</w:t>
            </w:r>
          </w:p>
        </w:tc>
        <w:tc>
          <w:tcPr>
            <w:tcW w:w="1050" w:type="dxa"/>
            <w:tcBorders>
              <w:top w:val="nil"/>
              <w:left w:val="nil"/>
              <w:bottom w:val="single" w:sz="4" w:space="0" w:color="auto"/>
              <w:right w:val="single" w:sz="4" w:space="0" w:color="auto"/>
            </w:tcBorders>
            <w:shd w:val="clear" w:color="auto" w:fill="auto"/>
            <w:vAlign w:val="center"/>
            <w:hideMark/>
          </w:tcPr>
          <w:p w14:paraId="666B8C3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-234.85%</w:t>
            </w:r>
          </w:p>
        </w:tc>
        <w:tc>
          <w:tcPr>
            <w:tcW w:w="1119" w:type="dxa"/>
            <w:tcBorders>
              <w:top w:val="nil"/>
              <w:left w:val="nil"/>
              <w:bottom w:val="single" w:sz="4" w:space="0" w:color="auto"/>
              <w:right w:val="single" w:sz="4" w:space="0" w:color="auto"/>
            </w:tcBorders>
            <w:shd w:val="clear" w:color="000000" w:fill="D9D9D9"/>
            <w:vAlign w:val="center"/>
            <w:hideMark/>
          </w:tcPr>
          <w:p w14:paraId="46EE5CFD"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-0.205</w:t>
            </w:r>
          </w:p>
        </w:tc>
      </w:tr>
      <w:tr w:rsidR="002D6208" w:rsidRPr="00C75BA1" w14:paraId="4792548A" w14:textId="77777777" w:rsidTr="006B08CB">
        <w:trPr>
          <w:trHeight w:val="303"/>
        </w:trPr>
        <w:tc>
          <w:tcPr>
            <w:tcW w:w="4152" w:type="dxa"/>
            <w:tcBorders>
              <w:top w:val="nil"/>
              <w:left w:val="single" w:sz="8" w:space="0" w:color="auto"/>
              <w:bottom w:val="single" w:sz="8" w:space="0" w:color="auto"/>
              <w:right w:val="single" w:sz="4" w:space="0" w:color="auto"/>
            </w:tcBorders>
            <w:shd w:val="clear" w:color="000000" w:fill="D9D9D9"/>
            <w:vAlign w:val="center"/>
            <w:hideMark/>
          </w:tcPr>
          <w:p w14:paraId="557360DA"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Corporate Services</w:t>
            </w:r>
          </w:p>
        </w:tc>
        <w:tc>
          <w:tcPr>
            <w:tcW w:w="1084" w:type="dxa"/>
            <w:tcBorders>
              <w:top w:val="nil"/>
              <w:left w:val="nil"/>
              <w:bottom w:val="single" w:sz="8" w:space="0" w:color="auto"/>
              <w:right w:val="single" w:sz="4" w:space="0" w:color="auto"/>
            </w:tcBorders>
            <w:shd w:val="clear" w:color="000000" w:fill="D9D9D9"/>
            <w:vAlign w:val="center"/>
            <w:hideMark/>
          </w:tcPr>
          <w:p w14:paraId="46576688"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17.929</w:t>
            </w:r>
          </w:p>
        </w:tc>
        <w:tc>
          <w:tcPr>
            <w:tcW w:w="1084" w:type="dxa"/>
            <w:tcBorders>
              <w:top w:val="nil"/>
              <w:left w:val="nil"/>
              <w:bottom w:val="single" w:sz="8" w:space="0" w:color="auto"/>
              <w:right w:val="single" w:sz="4" w:space="0" w:color="auto"/>
            </w:tcBorders>
            <w:shd w:val="clear" w:color="000000" w:fill="D9D9D9"/>
            <w:vAlign w:val="center"/>
            <w:hideMark/>
          </w:tcPr>
          <w:p w14:paraId="2205595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18.976</w:t>
            </w:r>
          </w:p>
        </w:tc>
        <w:tc>
          <w:tcPr>
            <w:tcW w:w="1050" w:type="dxa"/>
            <w:tcBorders>
              <w:top w:val="nil"/>
              <w:left w:val="nil"/>
              <w:bottom w:val="single" w:sz="8" w:space="0" w:color="auto"/>
              <w:right w:val="single" w:sz="4" w:space="0" w:color="auto"/>
            </w:tcBorders>
            <w:shd w:val="clear" w:color="000000" w:fill="D9D9D9"/>
            <w:vAlign w:val="center"/>
            <w:hideMark/>
          </w:tcPr>
          <w:p w14:paraId="4241CBC1"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1.047</w:t>
            </w:r>
          </w:p>
        </w:tc>
        <w:tc>
          <w:tcPr>
            <w:tcW w:w="1050" w:type="dxa"/>
            <w:tcBorders>
              <w:top w:val="nil"/>
              <w:left w:val="nil"/>
              <w:bottom w:val="single" w:sz="8" w:space="0" w:color="auto"/>
              <w:right w:val="single" w:sz="4" w:space="0" w:color="auto"/>
            </w:tcBorders>
            <w:shd w:val="clear" w:color="000000" w:fill="D9D9D9"/>
            <w:vAlign w:val="center"/>
            <w:hideMark/>
          </w:tcPr>
          <w:p w14:paraId="713280D4"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5.84%</w:t>
            </w:r>
          </w:p>
        </w:tc>
        <w:tc>
          <w:tcPr>
            <w:tcW w:w="1119" w:type="dxa"/>
            <w:tcBorders>
              <w:top w:val="nil"/>
              <w:left w:val="nil"/>
              <w:bottom w:val="single" w:sz="8" w:space="0" w:color="auto"/>
              <w:right w:val="single" w:sz="4" w:space="0" w:color="auto"/>
            </w:tcBorders>
            <w:shd w:val="clear" w:color="000000" w:fill="D9D9D9"/>
            <w:vAlign w:val="center"/>
            <w:hideMark/>
          </w:tcPr>
          <w:p w14:paraId="39853D6D"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0.310</w:t>
            </w:r>
          </w:p>
        </w:tc>
      </w:tr>
      <w:tr w:rsidR="00C75BA1" w:rsidRPr="00C75BA1" w14:paraId="4B0CDEAB" w14:textId="77777777" w:rsidTr="006B08CB">
        <w:trPr>
          <w:trHeight w:val="289"/>
        </w:trPr>
        <w:tc>
          <w:tcPr>
            <w:tcW w:w="4152"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3C21915"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Programme Office</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58492A7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1.222</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9F02B3F"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1.108</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5DB7D2F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-0.114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0247D8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-9.30%</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42F1A327"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-0.114</w:t>
            </w:r>
          </w:p>
        </w:tc>
      </w:tr>
      <w:tr w:rsidR="00C75BA1" w:rsidRPr="00C75BA1" w14:paraId="5A73B12E"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47C7153F"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Organisational Development</w:t>
            </w:r>
          </w:p>
        </w:tc>
        <w:tc>
          <w:tcPr>
            <w:tcW w:w="1084" w:type="dxa"/>
            <w:tcBorders>
              <w:top w:val="nil"/>
              <w:left w:val="nil"/>
              <w:bottom w:val="single" w:sz="4" w:space="0" w:color="auto"/>
              <w:right w:val="single" w:sz="4" w:space="0" w:color="auto"/>
            </w:tcBorders>
            <w:shd w:val="clear" w:color="auto" w:fill="auto"/>
            <w:vAlign w:val="center"/>
            <w:hideMark/>
          </w:tcPr>
          <w:p w14:paraId="3B86E48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0.700</w:t>
            </w:r>
          </w:p>
        </w:tc>
        <w:tc>
          <w:tcPr>
            <w:tcW w:w="1084" w:type="dxa"/>
            <w:tcBorders>
              <w:top w:val="nil"/>
              <w:left w:val="nil"/>
              <w:bottom w:val="single" w:sz="4" w:space="0" w:color="auto"/>
              <w:right w:val="single" w:sz="4" w:space="0" w:color="auto"/>
            </w:tcBorders>
            <w:shd w:val="clear" w:color="auto" w:fill="auto"/>
            <w:vAlign w:val="center"/>
            <w:hideMark/>
          </w:tcPr>
          <w:p w14:paraId="40FA1CA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0.711</w:t>
            </w:r>
          </w:p>
        </w:tc>
        <w:tc>
          <w:tcPr>
            <w:tcW w:w="1050" w:type="dxa"/>
            <w:tcBorders>
              <w:top w:val="nil"/>
              <w:left w:val="nil"/>
              <w:bottom w:val="single" w:sz="4" w:space="0" w:color="auto"/>
              <w:right w:val="single" w:sz="4" w:space="0" w:color="auto"/>
            </w:tcBorders>
            <w:shd w:val="clear" w:color="000000" w:fill="D9D9D9"/>
            <w:vAlign w:val="center"/>
            <w:hideMark/>
          </w:tcPr>
          <w:p w14:paraId="562A3E68"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0.012</w:t>
            </w:r>
          </w:p>
        </w:tc>
        <w:tc>
          <w:tcPr>
            <w:tcW w:w="1050" w:type="dxa"/>
            <w:tcBorders>
              <w:top w:val="nil"/>
              <w:left w:val="nil"/>
              <w:bottom w:val="single" w:sz="4" w:space="0" w:color="auto"/>
              <w:right w:val="single" w:sz="4" w:space="0" w:color="auto"/>
            </w:tcBorders>
            <w:shd w:val="clear" w:color="auto" w:fill="auto"/>
            <w:vAlign w:val="center"/>
            <w:hideMark/>
          </w:tcPr>
          <w:p w14:paraId="2DA912C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1.68%</w:t>
            </w:r>
          </w:p>
        </w:tc>
        <w:tc>
          <w:tcPr>
            <w:tcW w:w="1119" w:type="dxa"/>
            <w:tcBorders>
              <w:top w:val="nil"/>
              <w:left w:val="nil"/>
              <w:bottom w:val="single" w:sz="4" w:space="0" w:color="auto"/>
              <w:right w:val="single" w:sz="4" w:space="0" w:color="auto"/>
            </w:tcBorders>
            <w:shd w:val="clear" w:color="000000" w:fill="D9D9D9"/>
            <w:vAlign w:val="center"/>
            <w:hideMark/>
          </w:tcPr>
          <w:p w14:paraId="4A41D420"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0.012</w:t>
            </w:r>
          </w:p>
        </w:tc>
      </w:tr>
      <w:tr w:rsidR="002D6208" w:rsidRPr="00C75BA1" w14:paraId="7487603F" w14:textId="77777777" w:rsidTr="006B08CB">
        <w:trPr>
          <w:trHeight w:val="303"/>
        </w:trPr>
        <w:tc>
          <w:tcPr>
            <w:tcW w:w="4152" w:type="dxa"/>
            <w:tcBorders>
              <w:top w:val="nil"/>
              <w:left w:val="single" w:sz="8" w:space="0" w:color="auto"/>
              <w:bottom w:val="single" w:sz="8" w:space="0" w:color="auto"/>
              <w:right w:val="single" w:sz="4" w:space="0" w:color="auto"/>
            </w:tcBorders>
            <w:shd w:val="clear" w:color="000000" w:fill="D9D9D9"/>
            <w:vAlign w:val="center"/>
            <w:hideMark/>
          </w:tcPr>
          <w:p w14:paraId="23611E95" w14:textId="23DFFBBF"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 xml:space="preserve">Total Organisational Development </w:t>
            </w:r>
            <w:r w:rsidR="006B08CB">
              <w:rPr>
                <w:rFonts w:eastAsia="Times New Roman" w:cs="Arial"/>
                <w:b/>
                <w:bCs/>
                <w:sz w:val="20"/>
                <w:szCs w:val="20"/>
                <w:lang w:eastAsia="en-GB"/>
              </w:rPr>
              <w:t>a</w:t>
            </w:r>
            <w:r w:rsidRPr="00C75BA1">
              <w:rPr>
                <w:rFonts w:eastAsia="Times New Roman" w:cs="Arial"/>
                <w:b/>
                <w:bCs/>
                <w:sz w:val="20"/>
                <w:szCs w:val="20"/>
                <w:lang w:eastAsia="en-GB"/>
              </w:rPr>
              <w:t>nd Change</w:t>
            </w:r>
          </w:p>
        </w:tc>
        <w:tc>
          <w:tcPr>
            <w:tcW w:w="1084" w:type="dxa"/>
            <w:tcBorders>
              <w:top w:val="nil"/>
              <w:left w:val="nil"/>
              <w:bottom w:val="single" w:sz="8" w:space="0" w:color="auto"/>
              <w:right w:val="single" w:sz="4" w:space="0" w:color="auto"/>
            </w:tcBorders>
            <w:shd w:val="clear" w:color="000000" w:fill="D9D9D9"/>
            <w:vAlign w:val="center"/>
            <w:hideMark/>
          </w:tcPr>
          <w:p w14:paraId="5FDF110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1.921</w:t>
            </w:r>
          </w:p>
        </w:tc>
        <w:tc>
          <w:tcPr>
            <w:tcW w:w="1084" w:type="dxa"/>
            <w:tcBorders>
              <w:top w:val="nil"/>
              <w:left w:val="nil"/>
              <w:bottom w:val="single" w:sz="8" w:space="0" w:color="auto"/>
              <w:right w:val="single" w:sz="4" w:space="0" w:color="auto"/>
            </w:tcBorders>
            <w:shd w:val="clear" w:color="000000" w:fill="D9D9D9"/>
            <w:vAlign w:val="center"/>
            <w:hideMark/>
          </w:tcPr>
          <w:p w14:paraId="0B9DC7D0"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1.820</w:t>
            </w:r>
          </w:p>
        </w:tc>
        <w:tc>
          <w:tcPr>
            <w:tcW w:w="1050" w:type="dxa"/>
            <w:tcBorders>
              <w:top w:val="nil"/>
              <w:left w:val="nil"/>
              <w:bottom w:val="single" w:sz="8" w:space="0" w:color="auto"/>
              <w:right w:val="single" w:sz="4" w:space="0" w:color="auto"/>
            </w:tcBorders>
            <w:shd w:val="clear" w:color="000000" w:fill="D9D9D9"/>
            <w:vAlign w:val="center"/>
            <w:hideMark/>
          </w:tcPr>
          <w:p w14:paraId="3F0730D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-0.102</w:t>
            </w:r>
          </w:p>
        </w:tc>
        <w:tc>
          <w:tcPr>
            <w:tcW w:w="1050" w:type="dxa"/>
            <w:tcBorders>
              <w:top w:val="nil"/>
              <w:left w:val="nil"/>
              <w:bottom w:val="single" w:sz="8" w:space="0" w:color="auto"/>
              <w:right w:val="single" w:sz="4" w:space="0" w:color="auto"/>
            </w:tcBorders>
            <w:shd w:val="clear" w:color="000000" w:fill="D9D9D9"/>
            <w:vAlign w:val="center"/>
            <w:hideMark/>
          </w:tcPr>
          <w:p w14:paraId="11EA278A"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-5.30%</w:t>
            </w:r>
          </w:p>
        </w:tc>
        <w:tc>
          <w:tcPr>
            <w:tcW w:w="1119" w:type="dxa"/>
            <w:tcBorders>
              <w:top w:val="nil"/>
              <w:left w:val="nil"/>
              <w:bottom w:val="single" w:sz="8" w:space="0" w:color="auto"/>
              <w:right w:val="single" w:sz="4" w:space="0" w:color="auto"/>
            </w:tcBorders>
            <w:shd w:val="clear" w:color="000000" w:fill="D9D9D9"/>
            <w:vAlign w:val="center"/>
            <w:hideMark/>
          </w:tcPr>
          <w:p w14:paraId="5EFB94C6"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-0.102</w:t>
            </w:r>
          </w:p>
        </w:tc>
      </w:tr>
      <w:tr w:rsidR="00C75BA1" w:rsidRPr="00C75BA1" w14:paraId="1F783050" w14:textId="77777777" w:rsidTr="006B08CB">
        <w:trPr>
          <w:trHeight w:val="289"/>
        </w:trPr>
        <w:tc>
          <w:tcPr>
            <w:tcW w:w="4152"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08843572"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Human Resources</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530300E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2.439</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35465105"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2.187</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659F020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-0.252</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01CF4B9"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-10.33%</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11E52990"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-0.231</w:t>
            </w:r>
          </w:p>
        </w:tc>
      </w:tr>
      <w:tr w:rsidR="00C75BA1" w:rsidRPr="00C75BA1" w14:paraId="0B7EEF5E" w14:textId="77777777" w:rsidTr="006B08CB">
        <w:trPr>
          <w:trHeight w:val="289"/>
        </w:trPr>
        <w:tc>
          <w:tcPr>
            <w:tcW w:w="4152" w:type="dxa"/>
            <w:tcBorders>
              <w:top w:val="nil"/>
              <w:left w:val="single" w:sz="8" w:space="0" w:color="auto"/>
              <w:bottom w:val="single" w:sz="4" w:space="0" w:color="auto"/>
              <w:right w:val="single" w:sz="4" w:space="0" w:color="auto"/>
            </w:tcBorders>
            <w:shd w:val="clear" w:color="000000" w:fill="D9D9D9"/>
            <w:vAlign w:val="center"/>
            <w:hideMark/>
          </w:tcPr>
          <w:p w14:paraId="60E22CFA"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Skills Learning &amp; Development</w:t>
            </w:r>
          </w:p>
        </w:tc>
        <w:tc>
          <w:tcPr>
            <w:tcW w:w="1084" w:type="dxa"/>
            <w:tcBorders>
              <w:top w:val="nil"/>
              <w:left w:val="nil"/>
              <w:bottom w:val="single" w:sz="4" w:space="0" w:color="auto"/>
              <w:right w:val="single" w:sz="4" w:space="0" w:color="auto"/>
            </w:tcBorders>
            <w:shd w:val="clear" w:color="auto" w:fill="auto"/>
            <w:vAlign w:val="center"/>
            <w:hideMark/>
          </w:tcPr>
          <w:p w14:paraId="5FE44A56"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3.000</w:t>
            </w:r>
          </w:p>
        </w:tc>
        <w:tc>
          <w:tcPr>
            <w:tcW w:w="1084" w:type="dxa"/>
            <w:tcBorders>
              <w:top w:val="nil"/>
              <w:left w:val="nil"/>
              <w:bottom w:val="single" w:sz="4" w:space="0" w:color="auto"/>
              <w:right w:val="single" w:sz="4" w:space="0" w:color="auto"/>
            </w:tcBorders>
            <w:shd w:val="clear" w:color="auto" w:fill="auto"/>
            <w:vAlign w:val="center"/>
            <w:hideMark/>
          </w:tcPr>
          <w:p w14:paraId="5404A513"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2.999</w:t>
            </w:r>
          </w:p>
        </w:tc>
        <w:tc>
          <w:tcPr>
            <w:tcW w:w="1050" w:type="dxa"/>
            <w:tcBorders>
              <w:top w:val="nil"/>
              <w:left w:val="nil"/>
              <w:bottom w:val="single" w:sz="4" w:space="0" w:color="auto"/>
              <w:right w:val="single" w:sz="4" w:space="0" w:color="auto"/>
            </w:tcBorders>
            <w:shd w:val="clear" w:color="000000" w:fill="D9D9D9"/>
            <w:vAlign w:val="center"/>
            <w:hideMark/>
          </w:tcPr>
          <w:p w14:paraId="513DAFF4"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-0.001</w:t>
            </w:r>
          </w:p>
        </w:tc>
        <w:tc>
          <w:tcPr>
            <w:tcW w:w="1050" w:type="dxa"/>
            <w:tcBorders>
              <w:top w:val="nil"/>
              <w:left w:val="nil"/>
              <w:bottom w:val="single" w:sz="4" w:space="0" w:color="auto"/>
              <w:right w:val="single" w:sz="4" w:space="0" w:color="auto"/>
            </w:tcBorders>
            <w:shd w:val="clear" w:color="auto" w:fill="auto"/>
            <w:vAlign w:val="center"/>
            <w:hideMark/>
          </w:tcPr>
          <w:p w14:paraId="46940C9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-0.04%</w:t>
            </w:r>
          </w:p>
        </w:tc>
        <w:tc>
          <w:tcPr>
            <w:tcW w:w="1119" w:type="dxa"/>
            <w:tcBorders>
              <w:top w:val="nil"/>
              <w:left w:val="nil"/>
              <w:bottom w:val="single" w:sz="4" w:space="0" w:color="auto"/>
              <w:right w:val="single" w:sz="4" w:space="0" w:color="auto"/>
            </w:tcBorders>
            <w:shd w:val="clear" w:color="000000" w:fill="D9D9D9"/>
            <w:vAlign w:val="center"/>
            <w:hideMark/>
          </w:tcPr>
          <w:p w14:paraId="38B4CF3B"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-0.001</w:t>
            </w:r>
          </w:p>
        </w:tc>
      </w:tr>
      <w:tr w:rsidR="002D6208" w:rsidRPr="00C75BA1" w14:paraId="31DA79D8" w14:textId="77777777" w:rsidTr="006B08CB">
        <w:trPr>
          <w:trHeight w:val="303"/>
        </w:trPr>
        <w:tc>
          <w:tcPr>
            <w:tcW w:w="4152" w:type="dxa"/>
            <w:tcBorders>
              <w:top w:val="nil"/>
              <w:left w:val="single" w:sz="8" w:space="0" w:color="auto"/>
              <w:bottom w:val="single" w:sz="8" w:space="0" w:color="auto"/>
              <w:right w:val="single" w:sz="4" w:space="0" w:color="auto"/>
            </w:tcBorders>
            <w:shd w:val="clear" w:color="000000" w:fill="D9D9D9"/>
            <w:vAlign w:val="center"/>
            <w:hideMark/>
          </w:tcPr>
          <w:p w14:paraId="1FB18FF7"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People Services</w:t>
            </w:r>
          </w:p>
        </w:tc>
        <w:tc>
          <w:tcPr>
            <w:tcW w:w="1084" w:type="dxa"/>
            <w:tcBorders>
              <w:top w:val="nil"/>
              <w:left w:val="nil"/>
              <w:bottom w:val="single" w:sz="8" w:space="0" w:color="auto"/>
              <w:right w:val="single" w:sz="4" w:space="0" w:color="auto"/>
            </w:tcBorders>
            <w:shd w:val="clear" w:color="000000" w:fill="D9D9D9"/>
            <w:vAlign w:val="center"/>
            <w:hideMark/>
          </w:tcPr>
          <w:p w14:paraId="79ECADA6"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5.439</w:t>
            </w:r>
          </w:p>
        </w:tc>
        <w:tc>
          <w:tcPr>
            <w:tcW w:w="1084" w:type="dxa"/>
            <w:tcBorders>
              <w:top w:val="nil"/>
              <w:left w:val="nil"/>
              <w:bottom w:val="single" w:sz="8" w:space="0" w:color="auto"/>
              <w:right w:val="single" w:sz="4" w:space="0" w:color="auto"/>
            </w:tcBorders>
            <w:shd w:val="clear" w:color="000000" w:fill="D9D9D9"/>
            <w:vAlign w:val="center"/>
            <w:hideMark/>
          </w:tcPr>
          <w:p w14:paraId="07CEBEFB"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5.186</w:t>
            </w:r>
          </w:p>
        </w:tc>
        <w:tc>
          <w:tcPr>
            <w:tcW w:w="1050" w:type="dxa"/>
            <w:tcBorders>
              <w:top w:val="nil"/>
              <w:left w:val="nil"/>
              <w:bottom w:val="single" w:sz="8" w:space="0" w:color="auto"/>
              <w:right w:val="single" w:sz="4" w:space="0" w:color="auto"/>
            </w:tcBorders>
            <w:shd w:val="clear" w:color="000000" w:fill="D9D9D9"/>
            <w:vAlign w:val="center"/>
            <w:hideMark/>
          </w:tcPr>
          <w:p w14:paraId="21815876"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-0.253</w:t>
            </w:r>
          </w:p>
        </w:tc>
        <w:tc>
          <w:tcPr>
            <w:tcW w:w="1050" w:type="dxa"/>
            <w:tcBorders>
              <w:top w:val="nil"/>
              <w:left w:val="nil"/>
              <w:bottom w:val="single" w:sz="8" w:space="0" w:color="auto"/>
              <w:right w:val="single" w:sz="4" w:space="0" w:color="auto"/>
            </w:tcBorders>
            <w:shd w:val="clear" w:color="000000" w:fill="D9D9D9"/>
            <w:vAlign w:val="center"/>
            <w:hideMark/>
          </w:tcPr>
          <w:p w14:paraId="7A2B5FF6"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-4.65%</w:t>
            </w:r>
          </w:p>
        </w:tc>
        <w:tc>
          <w:tcPr>
            <w:tcW w:w="1119" w:type="dxa"/>
            <w:tcBorders>
              <w:top w:val="nil"/>
              <w:left w:val="nil"/>
              <w:bottom w:val="single" w:sz="8" w:space="0" w:color="auto"/>
              <w:right w:val="single" w:sz="4" w:space="0" w:color="auto"/>
            </w:tcBorders>
            <w:shd w:val="clear" w:color="000000" w:fill="D9D9D9"/>
            <w:vAlign w:val="center"/>
            <w:hideMark/>
          </w:tcPr>
          <w:p w14:paraId="6D0D49F0"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-0.232</w:t>
            </w:r>
          </w:p>
        </w:tc>
      </w:tr>
      <w:tr w:rsidR="00C75BA1" w:rsidRPr="00C75BA1" w14:paraId="1641E640" w14:textId="77777777" w:rsidTr="006B08CB">
        <w:trPr>
          <w:trHeight w:val="289"/>
        </w:trPr>
        <w:tc>
          <w:tcPr>
            <w:tcW w:w="4152"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5811E79" w14:textId="77777777" w:rsidR="00C75BA1" w:rsidRPr="00C75BA1" w:rsidRDefault="00C75BA1" w:rsidP="00C75BA1">
            <w:pPr>
              <w:autoSpaceDE/>
              <w:autoSpaceDN/>
              <w:adjustRightInd/>
              <w:spacing w:after="0"/>
              <w:jc w:val="left"/>
              <w:rPr>
                <w:rFonts w:eastAsia="Times New Roman" w:cs="Arial"/>
                <w:sz w:val="20"/>
                <w:szCs w:val="20"/>
                <w:lang w:eastAsia="en-GB"/>
              </w:rPr>
            </w:pPr>
            <w:r w:rsidRPr="00C75BA1">
              <w:rPr>
                <w:rFonts w:eastAsia="Times New Roman" w:cs="Arial"/>
                <w:sz w:val="20"/>
                <w:szCs w:val="20"/>
                <w:lang w:eastAsia="en-GB"/>
              </w:rPr>
              <w:t>Communications</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57ADAFA"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1.340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352F8C8D"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1.116</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7C2FCDFE"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-0.224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50FE8222" w14:textId="77777777" w:rsidR="00C75BA1" w:rsidRPr="00C75BA1" w:rsidRDefault="00C75BA1" w:rsidP="00C75BA1">
            <w:pPr>
              <w:autoSpaceDE/>
              <w:autoSpaceDN/>
              <w:adjustRightInd/>
              <w:spacing w:after="0"/>
              <w:jc w:val="right"/>
              <w:rPr>
                <w:rFonts w:eastAsia="Times New Roman" w:cs="Arial"/>
                <w:sz w:val="20"/>
                <w:szCs w:val="20"/>
                <w:lang w:eastAsia="en-GB"/>
              </w:rPr>
            </w:pPr>
            <w:r w:rsidRPr="00C75BA1">
              <w:rPr>
                <w:rFonts w:eastAsia="Times New Roman" w:cs="Arial"/>
                <w:sz w:val="20"/>
                <w:szCs w:val="20"/>
                <w:lang w:eastAsia="en-GB"/>
              </w:rPr>
              <w:t>-16.75%</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4ED32BBE" w14:textId="77777777" w:rsidR="00C75BA1" w:rsidRPr="00C75BA1" w:rsidRDefault="00C75BA1" w:rsidP="00C75BA1">
            <w:pPr>
              <w:autoSpaceDE/>
              <w:autoSpaceDN/>
              <w:adjustRightInd/>
              <w:spacing w:after="0"/>
              <w:jc w:val="right"/>
              <w:rPr>
                <w:rFonts w:eastAsia="Times New Roman" w:cs="Arial"/>
                <w:color w:val="auto"/>
                <w:sz w:val="20"/>
                <w:szCs w:val="20"/>
                <w:lang w:eastAsia="en-GB"/>
              </w:rPr>
            </w:pPr>
            <w:r w:rsidRPr="00C75BA1">
              <w:rPr>
                <w:rFonts w:eastAsia="Times New Roman" w:cs="Arial"/>
                <w:color w:val="auto"/>
                <w:sz w:val="20"/>
                <w:szCs w:val="20"/>
                <w:lang w:eastAsia="en-GB"/>
              </w:rPr>
              <w:t>-0.205</w:t>
            </w:r>
          </w:p>
        </w:tc>
      </w:tr>
      <w:tr w:rsidR="002D6208" w:rsidRPr="00C75BA1" w14:paraId="7AB46AA3" w14:textId="77777777" w:rsidTr="006B08CB">
        <w:trPr>
          <w:trHeight w:val="303"/>
        </w:trPr>
        <w:tc>
          <w:tcPr>
            <w:tcW w:w="4152" w:type="dxa"/>
            <w:tcBorders>
              <w:top w:val="nil"/>
              <w:left w:val="single" w:sz="8" w:space="0" w:color="auto"/>
              <w:bottom w:val="single" w:sz="8" w:space="0" w:color="auto"/>
              <w:right w:val="single" w:sz="4" w:space="0" w:color="auto"/>
            </w:tcBorders>
            <w:shd w:val="clear" w:color="000000" w:fill="D9D9D9"/>
            <w:vAlign w:val="center"/>
            <w:hideMark/>
          </w:tcPr>
          <w:p w14:paraId="792AF100" w14:textId="77777777" w:rsidR="00C75BA1" w:rsidRPr="00C75BA1" w:rsidRDefault="00C75BA1" w:rsidP="00C75BA1">
            <w:pPr>
              <w:autoSpaceDE/>
              <w:autoSpaceDN/>
              <w:adjustRightInd/>
              <w:spacing w:after="0"/>
              <w:jc w:val="left"/>
              <w:rPr>
                <w:rFonts w:eastAsia="Times New Roman" w:cs="Arial"/>
                <w:b/>
                <w:bCs/>
                <w:sz w:val="20"/>
                <w:szCs w:val="20"/>
                <w:lang w:eastAsia="en-GB"/>
              </w:rPr>
            </w:pPr>
            <w:r w:rsidRPr="00C75BA1">
              <w:rPr>
                <w:rFonts w:eastAsia="Times New Roman" w:cs="Arial"/>
                <w:b/>
                <w:bCs/>
                <w:sz w:val="20"/>
                <w:szCs w:val="20"/>
                <w:lang w:eastAsia="en-GB"/>
              </w:rPr>
              <w:t>Total Communications</w:t>
            </w:r>
          </w:p>
        </w:tc>
        <w:tc>
          <w:tcPr>
            <w:tcW w:w="1084" w:type="dxa"/>
            <w:tcBorders>
              <w:top w:val="nil"/>
              <w:left w:val="nil"/>
              <w:bottom w:val="single" w:sz="8" w:space="0" w:color="auto"/>
              <w:right w:val="single" w:sz="4" w:space="0" w:color="auto"/>
            </w:tcBorders>
            <w:shd w:val="clear" w:color="000000" w:fill="D9D9D9"/>
            <w:vAlign w:val="center"/>
            <w:hideMark/>
          </w:tcPr>
          <w:p w14:paraId="7F6C7F56"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1.340</w:t>
            </w:r>
          </w:p>
        </w:tc>
        <w:tc>
          <w:tcPr>
            <w:tcW w:w="1084" w:type="dxa"/>
            <w:tcBorders>
              <w:top w:val="nil"/>
              <w:left w:val="nil"/>
              <w:bottom w:val="single" w:sz="8" w:space="0" w:color="auto"/>
              <w:right w:val="single" w:sz="4" w:space="0" w:color="auto"/>
            </w:tcBorders>
            <w:shd w:val="clear" w:color="000000" w:fill="D9D9D9"/>
            <w:vAlign w:val="center"/>
            <w:hideMark/>
          </w:tcPr>
          <w:p w14:paraId="005E0DA4"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1.116</w:t>
            </w:r>
          </w:p>
        </w:tc>
        <w:tc>
          <w:tcPr>
            <w:tcW w:w="1050" w:type="dxa"/>
            <w:tcBorders>
              <w:top w:val="nil"/>
              <w:left w:val="nil"/>
              <w:bottom w:val="single" w:sz="8" w:space="0" w:color="auto"/>
              <w:right w:val="single" w:sz="4" w:space="0" w:color="auto"/>
            </w:tcBorders>
            <w:shd w:val="clear" w:color="000000" w:fill="D9D9D9"/>
            <w:vAlign w:val="center"/>
            <w:hideMark/>
          </w:tcPr>
          <w:p w14:paraId="333E08BF"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-0.224</w:t>
            </w:r>
          </w:p>
        </w:tc>
        <w:tc>
          <w:tcPr>
            <w:tcW w:w="1050" w:type="dxa"/>
            <w:tcBorders>
              <w:top w:val="nil"/>
              <w:left w:val="nil"/>
              <w:bottom w:val="single" w:sz="8" w:space="0" w:color="auto"/>
              <w:right w:val="single" w:sz="4" w:space="0" w:color="auto"/>
            </w:tcBorders>
            <w:shd w:val="clear" w:color="000000" w:fill="D9D9D9"/>
            <w:vAlign w:val="center"/>
            <w:hideMark/>
          </w:tcPr>
          <w:p w14:paraId="6DE25BC1"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-16.75%</w:t>
            </w:r>
          </w:p>
        </w:tc>
        <w:tc>
          <w:tcPr>
            <w:tcW w:w="1119" w:type="dxa"/>
            <w:tcBorders>
              <w:top w:val="nil"/>
              <w:left w:val="nil"/>
              <w:bottom w:val="single" w:sz="8" w:space="0" w:color="auto"/>
              <w:right w:val="single" w:sz="4" w:space="0" w:color="auto"/>
            </w:tcBorders>
            <w:shd w:val="clear" w:color="000000" w:fill="D9D9D9"/>
            <w:vAlign w:val="center"/>
            <w:hideMark/>
          </w:tcPr>
          <w:p w14:paraId="1FE6F792" w14:textId="77777777" w:rsidR="00C75BA1" w:rsidRPr="00C75BA1" w:rsidRDefault="00C75BA1" w:rsidP="00C75BA1">
            <w:pPr>
              <w:autoSpaceDE/>
              <w:autoSpaceDN/>
              <w:adjustRightInd/>
              <w:spacing w:after="0"/>
              <w:jc w:val="right"/>
              <w:rPr>
                <w:rFonts w:eastAsia="Times New Roman" w:cs="Arial"/>
                <w:b/>
                <w:bCs/>
                <w:sz w:val="20"/>
                <w:szCs w:val="20"/>
                <w:lang w:eastAsia="en-GB"/>
              </w:rPr>
            </w:pPr>
            <w:r w:rsidRPr="00C75BA1">
              <w:rPr>
                <w:rFonts w:eastAsia="Times New Roman" w:cs="Arial"/>
                <w:b/>
                <w:bCs/>
                <w:sz w:val="20"/>
                <w:szCs w:val="20"/>
                <w:lang w:eastAsia="en-GB"/>
              </w:rPr>
              <w:t>-0.205</w:t>
            </w:r>
          </w:p>
        </w:tc>
      </w:tr>
      <w:tr w:rsidR="00C75BA1" w:rsidRPr="006B08CB" w14:paraId="7C9CA08B" w14:textId="77777777" w:rsidTr="006B08CB">
        <w:trPr>
          <w:trHeight w:val="303"/>
        </w:trPr>
        <w:tc>
          <w:tcPr>
            <w:tcW w:w="4152"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66BDDCE" w14:textId="77777777" w:rsidR="00C75BA1" w:rsidRPr="00C75BA1" w:rsidRDefault="00C75BA1" w:rsidP="00C75BA1">
            <w:pPr>
              <w:autoSpaceDE/>
              <w:autoSpaceDN/>
              <w:adjustRightInd/>
              <w:spacing w:after="0"/>
              <w:jc w:val="left"/>
              <w:rPr>
                <w:rFonts w:eastAsia="Times New Roman" w:cs="Arial"/>
                <w:b/>
                <w:bCs/>
                <w:lang w:eastAsia="en-GB"/>
              </w:rPr>
            </w:pPr>
            <w:r w:rsidRPr="00C75BA1">
              <w:rPr>
                <w:rFonts w:eastAsia="Times New Roman" w:cs="Arial"/>
                <w:b/>
                <w:bCs/>
                <w:lang w:eastAsia="en-GB"/>
              </w:rPr>
              <w:t>Total Resources</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14:paraId="23292BF0"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155.149</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14:paraId="7D8752A7"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156.443</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4B7AC0E9"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1.294</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F478861"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0.83%</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3647D3FF" w14:textId="77777777" w:rsidR="00C75BA1" w:rsidRPr="00C75BA1" w:rsidRDefault="00C75BA1" w:rsidP="00C75BA1">
            <w:pPr>
              <w:autoSpaceDE/>
              <w:autoSpaceDN/>
              <w:adjustRightInd/>
              <w:spacing w:after="0"/>
              <w:jc w:val="right"/>
              <w:rPr>
                <w:rFonts w:eastAsia="Times New Roman" w:cs="Arial"/>
                <w:b/>
                <w:bCs/>
                <w:lang w:eastAsia="en-GB"/>
              </w:rPr>
            </w:pPr>
            <w:r w:rsidRPr="00C75BA1">
              <w:rPr>
                <w:rFonts w:eastAsia="Times New Roman" w:cs="Arial"/>
                <w:b/>
                <w:bCs/>
                <w:lang w:eastAsia="en-GB"/>
              </w:rPr>
              <w:t>0.471</w:t>
            </w:r>
          </w:p>
        </w:tc>
      </w:tr>
    </w:tbl>
    <w:p w14:paraId="5B3D085C" w14:textId="0A44C32B" w:rsidR="000F78F1" w:rsidRPr="008470C1" w:rsidRDefault="000F78F1" w:rsidP="000F78F1">
      <w:pPr>
        <w:spacing w:after="0"/>
        <w:rPr>
          <w:rFonts w:cs="Arial"/>
          <w:shd w:val="clear" w:color="auto" w:fill="FFFFFF"/>
        </w:rPr>
      </w:pPr>
      <w:r w:rsidRPr="008470C1">
        <w:rPr>
          <w:rFonts w:cs="Arial"/>
          <w:shd w:val="clear" w:color="auto" w:fill="FFFFFF"/>
        </w:rPr>
        <w:lastRenderedPageBreak/>
        <w:t>The budget for Resources Directorate is £</w:t>
      </w:r>
      <w:r w:rsidR="008470C1" w:rsidRPr="008470C1">
        <w:rPr>
          <w:rFonts w:cs="Arial"/>
          <w:shd w:val="clear" w:color="auto" w:fill="FFFFFF"/>
        </w:rPr>
        <w:t>155.149</w:t>
      </w:r>
      <w:r w:rsidRPr="008470C1">
        <w:rPr>
          <w:rFonts w:cs="Arial"/>
          <w:shd w:val="clear" w:color="auto" w:fill="FFFFFF"/>
        </w:rPr>
        <w:t xml:space="preserve">m, the current forecast position is an </w:t>
      </w:r>
      <w:r w:rsidR="008470C1" w:rsidRPr="008470C1">
        <w:rPr>
          <w:rFonts w:cs="Arial"/>
          <w:shd w:val="clear" w:color="auto" w:fill="FFFFFF"/>
        </w:rPr>
        <w:t>over</w:t>
      </w:r>
      <w:r w:rsidRPr="008470C1">
        <w:rPr>
          <w:rFonts w:cs="Arial"/>
          <w:shd w:val="clear" w:color="auto" w:fill="FFFFFF"/>
        </w:rPr>
        <w:t>spend of £</w:t>
      </w:r>
      <w:r w:rsidR="008470C1" w:rsidRPr="008470C1">
        <w:rPr>
          <w:rFonts w:cs="Arial"/>
          <w:shd w:val="clear" w:color="auto" w:fill="FFFFFF"/>
        </w:rPr>
        <w:t>1.294</w:t>
      </w:r>
      <w:r w:rsidRPr="008470C1">
        <w:rPr>
          <w:rFonts w:cs="Arial"/>
          <w:shd w:val="clear" w:color="auto" w:fill="FFFFFF"/>
        </w:rPr>
        <w:t xml:space="preserve">m, which is an </w:t>
      </w:r>
      <w:r w:rsidR="008470C1" w:rsidRPr="008470C1">
        <w:rPr>
          <w:rFonts w:cs="Arial"/>
          <w:shd w:val="clear" w:color="auto" w:fill="FFFFFF"/>
        </w:rPr>
        <w:t>increase in the overspend of c£0.5m</w:t>
      </w:r>
      <w:r w:rsidRPr="008470C1">
        <w:rPr>
          <w:rFonts w:cs="Arial"/>
          <w:shd w:val="clear" w:color="auto" w:fill="FFFFFF"/>
        </w:rPr>
        <w:t xml:space="preserve"> compared to Quarter </w:t>
      </w:r>
      <w:r w:rsidR="008470C1" w:rsidRPr="008470C1">
        <w:rPr>
          <w:rFonts w:cs="Arial"/>
          <w:shd w:val="clear" w:color="auto" w:fill="FFFFFF"/>
        </w:rPr>
        <w:t>2</w:t>
      </w:r>
      <w:r w:rsidRPr="008470C1">
        <w:rPr>
          <w:rFonts w:cs="Arial"/>
          <w:shd w:val="clear" w:color="auto" w:fill="FFFFFF"/>
        </w:rPr>
        <w:t>.</w:t>
      </w:r>
    </w:p>
    <w:p w14:paraId="4F768C89" w14:textId="1FD6BAE0" w:rsidR="000F78F1" w:rsidRPr="00C0672F" w:rsidRDefault="000F78F1" w:rsidP="000F78F1">
      <w:pPr>
        <w:spacing w:after="0"/>
        <w:rPr>
          <w:rFonts w:cs="Arial"/>
          <w:shd w:val="clear" w:color="auto" w:fill="FFFFFF"/>
        </w:rPr>
      </w:pPr>
    </w:p>
    <w:p w14:paraId="0BCBF44D" w14:textId="532A1150" w:rsidR="008470C1" w:rsidRPr="00C0672F" w:rsidRDefault="008470C1" w:rsidP="000F78F1">
      <w:pPr>
        <w:spacing w:after="0"/>
        <w:rPr>
          <w:rFonts w:cs="Arial"/>
          <w:b/>
          <w:bCs/>
          <w:u w:val="single"/>
          <w:shd w:val="clear" w:color="auto" w:fill="FFFFFF"/>
        </w:rPr>
      </w:pPr>
      <w:r w:rsidRPr="00C0672F">
        <w:rPr>
          <w:rFonts w:cs="Arial"/>
          <w:b/>
          <w:bCs/>
          <w:u w:val="single"/>
          <w:shd w:val="clear" w:color="auto" w:fill="FFFFFF"/>
        </w:rPr>
        <w:t>Resources – Forecast overspend £0.960m</w:t>
      </w:r>
    </w:p>
    <w:p w14:paraId="0CA51A72" w14:textId="44D38744" w:rsidR="00C0672F" w:rsidRDefault="00C0672F" w:rsidP="000F78F1">
      <w:pPr>
        <w:spacing w:after="0"/>
        <w:rPr>
          <w:rFonts w:cs="Arial"/>
          <w:shd w:val="clear" w:color="auto" w:fill="FFFFFF"/>
        </w:rPr>
      </w:pPr>
      <w:r w:rsidRPr="00C0672F">
        <w:rPr>
          <w:rFonts w:cs="Arial"/>
          <w:shd w:val="clear" w:color="auto" w:fill="FFFFFF"/>
        </w:rPr>
        <w:t>A</w:t>
      </w:r>
      <w:r w:rsidR="00826629">
        <w:rPr>
          <w:rFonts w:cs="Arial"/>
          <w:shd w:val="clear" w:color="auto" w:fill="FFFFFF"/>
        </w:rPr>
        <w:t xml:space="preserve">s part of the </w:t>
      </w:r>
      <w:r w:rsidRPr="00C0672F">
        <w:rPr>
          <w:rFonts w:cs="Arial"/>
          <w:shd w:val="clear" w:color="auto" w:fill="FFFFFF"/>
        </w:rPr>
        <w:t>Quarter 3</w:t>
      </w:r>
      <w:r w:rsidR="00826629">
        <w:rPr>
          <w:rFonts w:cs="Arial"/>
          <w:shd w:val="clear" w:color="auto" w:fill="FFFFFF"/>
        </w:rPr>
        <w:t xml:space="preserve"> budget monitoring</w:t>
      </w:r>
      <w:r w:rsidR="00FF6CC6">
        <w:rPr>
          <w:rFonts w:cs="Arial"/>
          <w:shd w:val="clear" w:color="auto" w:fill="FFFFFF"/>
        </w:rPr>
        <w:t>,</w:t>
      </w:r>
      <w:r w:rsidRPr="00C0672F">
        <w:rPr>
          <w:rFonts w:cs="Arial"/>
          <w:shd w:val="clear" w:color="auto" w:fill="FFFFFF"/>
        </w:rPr>
        <w:t xml:space="preserve"> corporate budgets</w:t>
      </w:r>
      <w:r w:rsidR="00826629">
        <w:rPr>
          <w:rFonts w:cs="Arial"/>
          <w:shd w:val="clear" w:color="auto" w:fill="FFFFFF"/>
        </w:rPr>
        <w:t xml:space="preserve"> relating to Treasury Management, Pensions and Apprenticeship Levy</w:t>
      </w:r>
      <w:r w:rsidRPr="00C0672F">
        <w:rPr>
          <w:rFonts w:cs="Arial"/>
          <w:shd w:val="clear" w:color="auto" w:fill="FFFFFF"/>
        </w:rPr>
        <w:t xml:space="preserve"> have been moved from Chief Executive Services to the Resources Directorate.</w:t>
      </w:r>
    </w:p>
    <w:p w14:paraId="186A2FAB" w14:textId="77777777" w:rsidR="00C0672F" w:rsidRDefault="00C0672F" w:rsidP="000F78F1">
      <w:pPr>
        <w:spacing w:after="0"/>
        <w:rPr>
          <w:rFonts w:cs="Arial"/>
          <w:shd w:val="clear" w:color="auto" w:fill="FFFFFF"/>
        </w:rPr>
      </w:pPr>
    </w:p>
    <w:p w14:paraId="54194409" w14:textId="3693BE0C" w:rsidR="00C0672F" w:rsidRPr="00C0672F" w:rsidRDefault="00C0672F" w:rsidP="00C0672F">
      <w:pPr>
        <w:spacing w:after="0"/>
        <w:rPr>
          <w:rFonts w:cs="Arial"/>
          <w:shd w:val="clear" w:color="auto" w:fill="FFFFFF"/>
        </w:rPr>
      </w:pPr>
      <w:r>
        <w:rPr>
          <w:rFonts w:cs="Arial"/>
          <w:shd w:val="clear" w:color="auto" w:fill="FFFFFF"/>
        </w:rPr>
        <w:t xml:space="preserve">The </w:t>
      </w:r>
      <w:r w:rsidRPr="00C0672F">
        <w:rPr>
          <w:rFonts w:cs="Arial"/>
          <w:shd w:val="clear" w:color="auto" w:fill="FFFFFF"/>
        </w:rPr>
        <w:t xml:space="preserve">overspend is </w:t>
      </w:r>
      <w:r>
        <w:rPr>
          <w:rFonts w:cs="Arial"/>
          <w:shd w:val="clear" w:color="auto" w:fill="FFFFFF"/>
        </w:rPr>
        <w:t>due to an</w:t>
      </w:r>
      <w:r w:rsidRPr="00C0672F">
        <w:rPr>
          <w:rFonts w:cs="Arial"/>
          <w:shd w:val="clear" w:color="auto" w:fill="FFFFFF"/>
        </w:rPr>
        <w:t xml:space="preserve"> amount owing (£2.9m) in </w:t>
      </w:r>
      <w:r>
        <w:rPr>
          <w:rFonts w:cs="Arial"/>
          <w:shd w:val="clear" w:color="auto" w:fill="FFFFFF"/>
        </w:rPr>
        <w:t xml:space="preserve">this financial year that </w:t>
      </w:r>
      <w:r w:rsidRPr="00C0672F">
        <w:rPr>
          <w:rFonts w:cs="Arial"/>
          <w:shd w:val="clear" w:color="auto" w:fill="FFFFFF"/>
        </w:rPr>
        <w:t>relat</w:t>
      </w:r>
      <w:r>
        <w:rPr>
          <w:rFonts w:cs="Arial"/>
          <w:shd w:val="clear" w:color="auto" w:fill="FFFFFF"/>
        </w:rPr>
        <w:t>es</w:t>
      </w:r>
      <w:r w:rsidRPr="00C0672F">
        <w:rPr>
          <w:rFonts w:cs="Arial"/>
          <w:shd w:val="clear" w:color="auto" w:fill="FFFFFF"/>
        </w:rPr>
        <w:t xml:space="preserve"> to the pension prepayment for 2021/22. Whilst the </w:t>
      </w:r>
      <w:r w:rsidR="00003BF4">
        <w:rPr>
          <w:rFonts w:cs="Arial"/>
          <w:shd w:val="clear" w:color="auto" w:fill="FFFFFF"/>
        </w:rPr>
        <w:t>county council</w:t>
      </w:r>
      <w:r w:rsidRPr="00C0672F">
        <w:rPr>
          <w:rFonts w:cs="Arial"/>
          <w:shd w:val="clear" w:color="auto" w:fill="FFFFFF"/>
        </w:rPr>
        <w:t xml:space="preserve"> is making a saving </w:t>
      </w:r>
      <w:proofErr w:type="gramStart"/>
      <w:r w:rsidRPr="00C0672F">
        <w:rPr>
          <w:rFonts w:cs="Arial"/>
          <w:shd w:val="clear" w:color="auto" w:fill="FFFFFF"/>
        </w:rPr>
        <w:t>as a result of</w:t>
      </w:r>
      <w:proofErr w:type="gramEnd"/>
      <w:r w:rsidRPr="00C0672F">
        <w:rPr>
          <w:rFonts w:cs="Arial"/>
          <w:shd w:val="clear" w:color="auto" w:fill="FFFFFF"/>
        </w:rPr>
        <w:t xml:space="preserve"> the prepayment, the amount owed to the pension fund is because the prepayment was based on a lower estimated contribution level than actually needed with a top-up payment therefore being required. </w:t>
      </w:r>
    </w:p>
    <w:p w14:paraId="6853FDBC" w14:textId="77777777" w:rsidR="00C0672F" w:rsidRPr="00C0672F" w:rsidRDefault="00C0672F" w:rsidP="00C0672F">
      <w:pPr>
        <w:spacing w:after="0"/>
        <w:rPr>
          <w:rFonts w:cs="Arial"/>
          <w:shd w:val="clear" w:color="auto" w:fill="FFFFFF"/>
        </w:rPr>
      </w:pPr>
    </w:p>
    <w:p w14:paraId="2C216014" w14:textId="301D89A7" w:rsidR="008470C1" w:rsidRPr="00C0672F" w:rsidRDefault="00C0672F" w:rsidP="00C0672F">
      <w:pPr>
        <w:spacing w:after="0"/>
        <w:rPr>
          <w:rFonts w:cs="Arial"/>
          <w:shd w:val="clear" w:color="auto" w:fill="FFFFFF"/>
        </w:rPr>
      </w:pPr>
      <w:r w:rsidRPr="00C0672F">
        <w:rPr>
          <w:rFonts w:cs="Arial"/>
          <w:shd w:val="clear" w:color="auto" w:fill="FFFFFF"/>
        </w:rPr>
        <w:t xml:space="preserve">The pressure noted above is offset by an underspend of c£2m on inherited pensions liabilities which are charged directly to </w:t>
      </w:r>
      <w:r w:rsidR="00604CE4">
        <w:rPr>
          <w:rFonts w:cs="Arial"/>
          <w:shd w:val="clear" w:color="auto" w:fill="FFFFFF"/>
        </w:rPr>
        <w:t>the county council</w:t>
      </w:r>
      <w:r w:rsidRPr="00C0672F">
        <w:rPr>
          <w:rFonts w:cs="Arial"/>
          <w:shd w:val="clear" w:color="auto" w:fill="FFFFFF"/>
        </w:rPr>
        <w:t xml:space="preserve"> and not </w:t>
      </w:r>
      <w:r w:rsidR="00F9045E">
        <w:rPr>
          <w:rFonts w:cs="Arial"/>
          <w:shd w:val="clear" w:color="auto" w:fill="FFFFFF"/>
        </w:rPr>
        <w:t xml:space="preserve">to </w:t>
      </w:r>
      <w:r w:rsidRPr="00C0672F">
        <w:rPr>
          <w:rFonts w:cs="Arial"/>
          <w:shd w:val="clear" w:color="auto" w:fill="FFFFFF"/>
        </w:rPr>
        <w:t>the pension fund.</w:t>
      </w:r>
    </w:p>
    <w:p w14:paraId="30BEB948" w14:textId="77777777" w:rsidR="008470C1" w:rsidRPr="006B08CB" w:rsidRDefault="008470C1" w:rsidP="000F78F1">
      <w:pPr>
        <w:spacing w:after="0"/>
        <w:rPr>
          <w:rFonts w:cs="Arial"/>
          <w:highlight w:val="yellow"/>
          <w:shd w:val="clear" w:color="auto" w:fill="FFFFFF"/>
        </w:rPr>
      </w:pPr>
    </w:p>
    <w:p w14:paraId="11FA38D1" w14:textId="35D93336" w:rsidR="000F78F1" w:rsidRDefault="000F78F1" w:rsidP="000F78F1">
      <w:pPr>
        <w:spacing w:after="0"/>
        <w:rPr>
          <w:rFonts w:cs="Arial"/>
          <w:b/>
          <w:bCs/>
          <w:u w:val="single"/>
          <w:shd w:val="clear" w:color="auto" w:fill="FFFFFF"/>
        </w:rPr>
      </w:pPr>
      <w:r w:rsidRPr="00C0672F">
        <w:rPr>
          <w:rFonts w:cs="Arial"/>
          <w:b/>
          <w:bCs/>
          <w:u w:val="single"/>
          <w:shd w:val="clear" w:color="auto" w:fill="FFFFFF"/>
        </w:rPr>
        <w:t>Finance Services – Forecast underspend £0.</w:t>
      </w:r>
      <w:r w:rsidR="00C0672F" w:rsidRPr="00C0672F">
        <w:rPr>
          <w:rFonts w:cs="Arial"/>
          <w:b/>
          <w:bCs/>
          <w:u w:val="single"/>
          <w:shd w:val="clear" w:color="auto" w:fill="FFFFFF"/>
        </w:rPr>
        <w:t>011</w:t>
      </w:r>
      <w:r w:rsidRPr="00C0672F">
        <w:rPr>
          <w:rFonts w:cs="Arial"/>
          <w:b/>
          <w:bCs/>
          <w:u w:val="single"/>
          <w:shd w:val="clear" w:color="auto" w:fill="FFFFFF"/>
        </w:rPr>
        <w:t>m</w:t>
      </w:r>
    </w:p>
    <w:p w14:paraId="09ABBBE7" w14:textId="691A4D6C" w:rsidR="00C0672F" w:rsidRPr="00C0672F" w:rsidRDefault="00C0672F" w:rsidP="000F78F1">
      <w:pPr>
        <w:spacing w:after="0"/>
        <w:rPr>
          <w:rFonts w:cs="Arial"/>
        </w:rPr>
      </w:pPr>
      <w:r w:rsidRPr="00C0672F">
        <w:rPr>
          <w:rFonts w:cs="Arial"/>
          <w:shd w:val="clear" w:color="auto" w:fill="FFFFFF"/>
        </w:rPr>
        <w:t>There are both underspends and overspends across most services within Finance, however most variances are below £0.100m. Further details of the variances for those greater than £0.100m are shown below:</w:t>
      </w:r>
    </w:p>
    <w:p w14:paraId="75B48770" w14:textId="199C1284" w:rsidR="000F78F1" w:rsidRPr="00C0672F" w:rsidRDefault="000F78F1" w:rsidP="000F78F1">
      <w:pPr>
        <w:spacing w:after="0"/>
        <w:textAlignment w:val="baseline"/>
        <w:rPr>
          <w:rFonts w:ascii="Segoe UI" w:eastAsia="Times New Roman" w:hAnsi="Segoe UI" w:cs="Segoe UI"/>
          <w:sz w:val="18"/>
          <w:szCs w:val="18"/>
          <w:lang w:eastAsia="en-GB"/>
        </w:rPr>
      </w:pPr>
      <w:r w:rsidRPr="00C0672F">
        <w:rPr>
          <w:rFonts w:eastAsia="Times New Roman" w:cs="Arial"/>
          <w:lang w:eastAsia="en-GB"/>
        </w:rPr>
        <w:t> </w:t>
      </w:r>
    </w:p>
    <w:p w14:paraId="29BCD47E" w14:textId="6E4F0A77" w:rsidR="000F78F1" w:rsidRPr="00C0672F" w:rsidRDefault="000F78F1" w:rsidP="000F78F1">
      <w:pPr>
        <w:spacing w:after="0"/>
        <w:textAlignment w:val="baseline"/>
        <w:rPr>
          <w:rFonts w:ascii="Segoe UI" w:eastAsia="Times New Roman" w:hAnsi="Segoe UI" w:cs="Segoe UI"/>
          <w:b/>
          <w:bCs/>
          <w:sz w:val="18"/>
          <w:szCs w:val="18"/>
          <w:lang w:eastAsia="en-GB"/>
        </w:rPr>
      </w:pPr>
      <w:r w:rsidRPr="00C0672F">
        <w:rPr>
          <w:rFonts w:eastAsia="Times New Roman" w:cs="Arial"/>
          <w:b/>
          <w:bCs/>
          <w:lang w:eastAsia="en-GB"/>
        </w:rPr>
        <w:t>Financial Management (Development and Schools) – Forecast overspend £0.1</w:t>
      </w:r>
      <w:r w:rsidR="00C0672F" w:rsidRPr="00C0672F">
        <w:rPr>
          <w:rFonts w:eastAsia="Times New Roman" w:cs="Arial"/>
          <w:b/>
          <w:bCs/>
          <w:lang w:eastAsia="en-GB"/>
        </w:rPr>
        <w:t>12</w:t>
      </w:r>
      <w:r w:rsidRPr="00C0672F">
        <w:rPr>
          <w:rFonts w:eastAsia="Times New Roman" w:cs="Arial"/>
          <w:b/>
          <w:bCs/>
          <w:lang w:eastAsia="en-GB"/>
        </w:rPr>
        <w:t>m</w:t>
      </w:r>
    </w:p>
    <w:p w14:paraId="4C30A28A" w14:textId="77777777" w:rsidR="000F78F1" w:rsidRPr="00C0672F" w:rsidRDefault="000F78F1" w:rsidP="000F78F1">
      <w:pPr>
        <w:spacing w:after="0"/>
        <w:textAlignment w:val="baseline"/>
        <w:rPr>
          <w:rFonts w:eastAsia="Times New Roman" w:cs="Arial"/>
          <w:lang w:eastAsia="en-GB"/>
        </w:rPr>
      </w:pPr>
      <w:r w:rsidRPr="00C0672F">
        <w:rPr>
          <w:rFonts w:eastAsia="Times New Roman" w:cs="Arial"/>
          <w:lang w:eastAsia="en-GB"/>
        </w:rPr>
        <w:t xml:space="preserve">The forecast overspend largely relates to staff costs. </w:t>
      </w:r>
    </w:p>
    <w:p w14:paraId="00D86DE4" w14:textId="77777777" w:rsidR="000F78F1" w:rsidRPr="006B08CB" w:rsidRDefault="000F78F1" w:rsidP="000F78F1">
      <w:pPr>
        <w:spacing w:after="0"/>
        <w:textAlignment w:val="baseline"/>
        <w:rPr>
          <w:rFonts w:ascii="Segoe UI" w:eastAsia="Times New Roman" w:hAnsi="Segoe UI" w:cs="Segoe UI"/>
          <w:sz w:val="18"/>
          <w:szCs w:val="18"/>
          <w:highlight w:val="yellow"/>
          <w:lang w:eastAsia="en-GB"/>
        </w:rPr>
      </w:pPr>
    </w:p>
    <w:p w14:paraId="09FC6A92" w14:textId="3DD1D4B0" w:rsidR="000F78F1" w:rsidRPr="00C0672F" w:rsidRDefault="000F78F1" w:rsidP="000F78F1">
      <w:pPr>
        <w:spacing w:after="0"/>
        <w:textAlignment w:val="baseline"/>
        <w:rPr>
          <w:rFonts w:ascii="Segoe UI" w:eastAsia="Times New Roman" w:hAnsi="Segoe UI" w:cs="Segoe UI"/>
          <w:sz w:val="18"/>
          <w:szCs w:val="18"/>
          <w:lang w:eastAsia="en-GB"/>
        </w:rPr>
      </w:pPr>
      <w:r w:rsidRPr="00C0672F">
        <w:rPr>
          <w:rFonts w:eastAsia="Times New Roman" w:cs="Arial"/>
          <w:b/>
          <w:bCs/>
          <w:lang w:eastAsia="en-GB"/>
        </w:rPr>
        <w:t>Corporate Finance – Forecast underspend of £0.2</w:t>
      </w:r>
      <w:r w:rsidR="00C0672F" w:rsidRPr="00C0672F">
        <w:rPr>
          <w:rFonts w:eastAsia="Times New Roman" w:cs="Arial"/>
          <w:b/>
          <w:bCs/>
          <w:lang w:eastAsia="en-GB"/>
        </w:rPr>
        <w:t>28</w:t>
      </w:r>
      <w:r w:rsidRPr="00C0672F">
        <w:rPr>
          <w:rFonts w:eastAsia="Times New Roman" w:cs="Arial"/>
          <w:b/>
          <w:bCs/>
          <w:lang w:eastAsia="en-GB"/>
        </w:rPr>
        <w:t>m</w:t>
      </w:r>
      <w:r w:rsidRPr="00C0672F">
        <w:rPr>
          <w:rFonts w:eastAsia="Times New Roman" w:cs="Arial"/>
          <w:lang w:eastAsia="en-GB"/>
        </w:rPr>
        <w:t> </w:t>
      </w:r>
    </w:p>
    <w:p w14:paraId="339112FF" w14:textId="77777777" w:rsidR="000F78F1" w:rsidRPr="00C0672F" w:rsidRDefault="000F78F1" w:rsidP="000F78F1">
      <w:pPr>
        <w:spacing w:after="0"/>
        <w:textAlignment w:val="baseline"/>
        <w:rPr>
          <w:rFonts w:eastAsia="Times New Roman" w:cs="Arial"/>
          <w:lang w:eastAsia="en-GB"/>
        </w:rPr>
      </w:pPr>
      <w:r w:rsidRPr="00C0672F">
        <w:rPr>
          <w:rFonts w:eastAsia="Times New Roman" w:cs="Arial"/>
          <w:lang w:eastAsia="en-GB"/>
        </w:rPr>
        <w:t xml:space="preserve">The forecast underspend largely relates to staff costs. </w:t>
      </w:r>
    </w:p>
    <w:p w14:paraId="5F928934" w14:textId="77777777" w:rsidR="000F78F1" w:rsidRPr="006B08CB" w:rsidRDefault="000F78F1" w:rsidP="000F78F1">
      <w:pPr>
        <w:spacing w:after="0"/>
        <w:textAlignment w:val="baseline"/>
        <w:rPr>
          <w:rFonts w:eastAsia="Times New Roman" w:cs="Arial"/>
          <w:highlight w:val="yellow"/>
          <w:lang w:eastAsia="en-GB"/>
        </w:rPr>
      </w:pPr>
    </w:p>
    <w:p w14:paraId="749B90D3" w14:textId="34C582DA" w:rsidR="000F78F1" w:rsidRPr="000A30BB" w:rsidRDefault="000F78F1" w:rsidP="000A30BB">
      <w:pPr>
        <w:spacing w:after="0"/>
        <w:rPr>
          <w:rFonts w:cs="Arial"/>
          <w:b/>
          <w:bCs/>
          <w:u w:val="single"/>
        </w:rPr>
      </w:pPr>
      <w:r w:rsidRPr="00C0672F">
        <w:rPr>
          <w:rFonts w:cs="Arial"/>
          <w:b/>
          <w:bCs/>
          <w:u w:val="single"/>
        </w:rPr>
        <w:t>Digital Services – Forecast underspend £1.</w:t>
      </w:r>
      <w:r w:rsidR="00C0672F" w:rsidRPr="00C0672F">
        <w:rPr>
          <w:rFonts w:cs="Arial"/>
          <w:b/>
          <w:bCs/>
          <w:u w:val="single"/>
        </w:rPr>
        <w:t>234</w:t>
      </w:r>
      <w:r w:rsidRPr="00C0672F">
        <w:rPr>
          <w:rFonts w:cs="Arial"/>
          <w:b/>
          <w:bCs/>
          <w:u w:val="single"/>
        </w:rPr>
        <w:t>m</w:t>
      </w:r>
    </w:p>
    <w:p w14:paraId="0D4DE242" w14:textId="5C7CCDFC" w:rsidR="00C0672F" w:rsidRDefault="00E87E25" w:rsidP="000F78F1">
      <w:pPr>
        <w:spacing w:after="0"/>
        <w:textAlignment w:val="baseline"/>
        <w:rPr>
          <w:rFonts w:eastAsia="Times New Roman" w:cs="Arial"/>
          <w:color w:val="auto"/>
          <w:lang w:eastAsia="en-GB"/>
        </w:rPr>
      </w:pPr>
      <w:r w:rsidRPr="00E87E25">
        <w:rPr>
          <w:rFonts w:eastAsia="Times New Roman" w:cs="Arial"/>
          <w:color w:val="auto"/>
          <w:lang w:eastAsia="en-GB"/>
        </w:rPr>
        <w:t>Forecast underspends of c£1.100m relate to staff costs and vacant posts offset by c£400,000 to cover the cost of contractors and commissioning work from external providers/consultants with the service continuing to experience difficulties recruiting to staff.  The forecast underspend is also further offset by under recovery of income of c£200,000 due to fewer requests for chargeable one-off change projects as opposed to business-as-usual work.</w:t>
      </w:r>
    </w:p>
    <w:p w14:paraId="411B0975" w14:textId="77777777" w:rsidR="00E87E25" w:rsidRPr="006B08CB" w:rsidRDefault="00E87E25" w:rsidP="000F78F1">
      <w:pPr>
        <w:spacing w:after="0"/>
        <w:textAlignment w:val="baseline"/>
        <w:rPr>
          <w:rFonts w:eastAsia="Times New Roman" w:cs="Arial"/>
          <w:color w:val="auto"/>
          <w:highlight w:val="yellow"/>
          <w:lang w:eastAsia="en-GB"/>
        </w:rPr>
      </w:pPr>
    </w:p>
    <w:p w14:paraId="04A0E343" w14:textId="52BEBAAE" w:rsidR="00C0672F" w:rsidRPr="006C263E" w:rsidRDefault="00E87E25" w:rsidP="000F78F1">
      <w:pPr>
        <w:spacing w:after="0"/>
        <w:textAlignment w:val="baseline"/>
        <w:rPr>
          <w:rFonts w:eastAsia="Times New Roman" w:cs="Arial"/>
          <w:color w:val="auto"/>
          <w:lang w:eastAsia="en-GB"/>
        </w:rPr>
      </w:pPr>
      <w:r w:rsidRPr="006C263E">
        <w:rPr>
          <w:rFonts w:eastAsia="Times New Roman" w:cs="Arial"/>
          <w:color w:val="auto"/>
          <w:lang w:eastAsia="en-GB"/>
        </w:rPr>
        <w:t xml:space="preserve">Forecast underspends of c£400,000 relate to renewals (payments to third party suppliers for maintenance, </w:t>
      </w:r>
      <w:proofErr w:type="gramStart"/>
      <w:r w:rsidRPr="006C263E">
        <w:rPr>
          <w:rFonts w:eastAsia="Times New Roman" w:cs="Arial"/>
          <w:color w:val="auto"/>
          <w:lang w:eastAsia="en-GB"/>
        </w:rPr>
        <w:t>support</w:t>
      </w:r>
      <w:proofErr w:type="gramEnd"/>
      <w:r w:rsidRPr="006C263E">
        <w:rPr>
          <w:rFonts w:eastAsia="Times New Roman" w:cs="Arial"/>
          <w:color w:val="auto"/>
          <w:lang w:eastAsia="en-GB"/>
        </w:rPr>
        <w:t xml:space="preserve"> and licences), which is anticipated to be non-recurring.  The cost of Microsoft 365 will increase in 2023/24 following the rollout of further phases.  Due to strong performance by Digital Supplier Management keeping renewal costs down, the full inflation included in the budget for 2022/23 was not needed and will be removed in the medium-term financial strategy from 2023/24.</w:t>
      </w:r>
    </w:p>
    <w:p w14:paraId="35A57503" w14:textId="77777777" w:rsidR="00E87E25" w:rsidRPr="006C263E" w:rsidRDefault="00E87E25" w:rsidP="000F78F1">
      <w:pPr>
        <w:spacing w:after="0"/>
        <w:textAlignment w:val="baseline"/>
        <w:rPr>
          <w:rFonts w:eastAsia="Times New Roman" w:cs="Arial"/>
          <w:color w:val="auto"/>
          <w:lang w:eastAsia="en-GB"/>
        </w:rPr>
      </w:pPr>
    </w:p>
    <w:p w14:paraId="2C623B46" w14:textId="6E3ABC8D" w:rsidR="00FE0B95" w:rsidRPr="00FE0B95" w:rsidRDefault="007713E0" w:rsidP="00FE0B95">
      <w:pPr>
        <w:pStyle w:val="ListParagraph"/>
        <w:spacing w:after="0"/>
        <w:ind w:left="0"/>
        <w:rPr>
          <w:rFonts w:eastAsia="Times New Roman" w:cs="Arial"/>
          <w:color w:val="auto"/>
          <w:lang w:eastAsia="en-GB"/>
        </w:rPr>
      </w:pPr>
      <w:r w:rsidRPr="006C263E">
        <w:rPr>
          <w:rFonts w:eastAsia="Times New Roman" w:cs="Arial"/>
          <w:color w:val="auto"/>
          <w:lang w:eastAsia="en-GB"/>
        </w:rPr>
        <w:t xml:space="preserve">Forecast underspends of c£100,000 relate to Education Services (trading activity with schools) with under recovery of budgeted income offset by underspends on expenditure of which c£300,000 for a rates rebate following a site revaluation, is </w:t>
      </w:r>
      <w:r w:rsidR="001F20A8" w:rsidRPr="006C263E">
        <w:rPr>
          <w:rFonts w:eastAsia="Times New Roman" w:cs="Arial"/>
          <w:color w:val="auto"/>
          <w:lang w:eastAsia="en-GB"/>
        </w:rPr>
        <w:t>non-recurring</w:t>
      </w:r>
      <w:r w:rsidRPr="006C263E">
        <w:rPr>
          <w:rFonts w:eastAsia="Times New Roman" w:cs="Arial"/>
          <w:color w:val="auto"/>
          <w:lang w:eastAsia="en-GB"/>
        </w:rPr>
        <w:t xml:space="preserve">. Forecast underspends of c£200,000 relate to various other </w:t>
      </w:r>
      <w:r w:rsidR="001F20A8" w:rsidRPr="006C263E">
        <w:rPr>
          <w:rFonts w:eastAsia="Times New Roman" w:cs="Arial"/>
          <w:color w:val="auto"/>
          <w:lang w:eastAsia="en-GB"/>
        </w:rPr>
        <w:t>non-staff</w:t>
      </w:r>
      <w:r w:rsidRPr="006C263E">
        <w:rPr>
          <w:rFonts w:eastAsia="Times New Roman" w:cs="Arial"/>
          <w:color w:val="auto"/>
          <w:lang w:eastAsia="en-GB"/>
        </w:rPr>
        <w:t xml:space="preserve"> spend across Digital Services. The forecast assumes c£1.700m of reserves will be used for </w:t>
      </w:r>
      <w:r w:rsidRPr="006C263E">
        <w:rPr>
          <w:rFonts w:eastAsia="Times New Roman" w:cs="Arial"/>
          <w:color w:val="auto"/>
          <w:lang w:eastAsia="en-GB"/>
        </w:rPr>
        <w:lastRenderedPageBreak/>
        <w:t>ICT refresh most of which relates to infrastructure refresh and c£300,000 of reserves will be used for the update or re-procurement of the Liquid Logic (social care) system in 2022/23.  Final payments on the low code platform and the IT Business Management implementation costs could see the underspend reduced by a further £360,000.</w:t>
      </w:r>
    </w:p>
    <w:p w14:paraId="2BA96DD7" w14:textId="77777777" w:rsidR="00C0672F" w:rsidRPr="006B08CB" w:rsidRDefault="00C0672F" w:rsidP="000F78F1">
      <w:pPr>
        <w:spacing w:after="0"/>
        <w:textAlignment w:val="baseline"/>
        <w:rPr>
          <w:rFonts w:eastAsia="Times New Roman" w:cs="Arial"/>
          <w:highlight w:val="yellow"/>
          <w:lang w:eastAsia="en-GB"/>
        </w:rPr>
      </w:pPr>
    </w:p>
    <w:p w14:paraId="66A1031B" w14:textId="2094D0DB" w:rsidR="000F78F1" w:rsidRPr="00C0672F" w:rsidRDefault="000F78F1" w:rsidP="000F78F1">
      <w:pPr>
        <w:spacing w:after="0"/>
        <w:textAlignment w:val="baseline"/>
        <w:rPr>
          <w:rFonts w:ascii="Segoe UI" w:eastAsia="Times New Roman" w:hAnsi="Segoe UI" w:cs="Segoe UI"/>
          <w:sz w:val="18"/>
          <w:szCs w:val="18"/>
          <w:u w:val="single"/>
          <w:lang w:eastAsia="en-GB"/>
        </w:rPr>
      </w:pPr>
      <w:r w:rsidRPr="00C0672F">
        <w:rPr>
          <w:rFonts w:cs="Arial"/>
          <w:b/>
          <w:u w:val="single"/>
        </w:rPr>
        <w:t>Strategy and Performance – Forecast overspend £</w:t>
      </w:r>
      <w:r w:rsidR="00C0672F" w:rsidRPr="00C0672F">
        <w:rPr>
          <w:rFonts w:cs="Arial"/>
          <w:b/>
          <w:u w:val="single"/>
        </w:rPr>
        <w:t>1.112</w:t>
      </w:r>
      <w:r w:rsidRPr="00C0672F">
        <w:rPr>
          <w:rFonts w:cs="Arial"/>
          <w:b/>
          <w:u w:val="single"/>
        </w:rPr>
        <w:t>m</w:t>
      </w:r>
    </w:p>
    <w:p w14:paraId="4A011E37" w14:textId="77777777" w:rsidR="000F78F1" w:rsidRPr="00C0672F" w:rsidRDefault="000F78F1" w:rsidP="000F78F1">
      <w:pPr>
        <w:spacing w:after="0"/>
        <w:textAlignment w:val="baseline"/>
        <w:rPr>
          <w:rFonts w:ascii="Segoe UI" w:eastAsia="Times New Roman" w:hAnsi="Segoe UI" w:cs="Segoe UI"/>
          <w:sz w:val="18"/>
          <w:szCs w:val="18"/>
          <w:lang w:eastAsia="en-GB"/>
        </w:rPr>
      </w:pPr>
    </w:p>
    <w:p w14:paraId="27F1040A" w14:textId="301A050A" w:rsidR="000F78F1" w:rsidRPr="00C0672F" w:rsidRDefault="000F78F1" w:rsidP="000F78F1">
      <w:pPr>
        <w:spacing w:after="0"/>
        <w:textAlignment w:val="baseline"/>
        <w:rPr>
          <w:rFonts w:ascii="Segoe UI" w:eastAsia="Times New Roman" w:hAnsi="Segoe UI" w:cs="Segoe UI"/>
          <w:sz w:val="18"/>
          <w:szCs w:val="18"/>
          <w:lang w:eastAsia="en-GB"/>
        </w:rPr>
      </w:pPr>
      <w:r w:rsidRPr="00C0672F">
        <w:rPr>
          <w:rFonts w:eastAsia="Times New Roman" w:cs="Arial"/>
          <w:b/>
          <w:bCs/>
          <w:lang w:eastAsia="en-GB"/>
        </w:rPr>
        <w:t>Asset Management – Forecast Underspend £0.</w:t>
      </w:r>
      <w:r w:rsidR="00C0672F" w:rsidRPr="00C0672F">
        <w:rPr>
          <w:rFonts w:eastAsia="Times New Roman" w:cs="Arial"/>
          <w:b/>
          <w:bCs/>
          <w:lang w:eastAsia="en-GB"/>
        </w:rPr>
        <w:t>453</w:t>
      </w:r>
      <w:r w:rsidRPr="00C0672F">
        <w:rPr>
          <w:rFonts w:eastAsia="Times New Roman" w:cs="Arial"/>
          <w:b/>
          <w:bCs/>
          <w:lang w:eastAsia="en-GB"/>
        </w:rPr>
        <w:t>m</w:t>
      </w:r>
      <w:r w:rsidRPr="00C0672F">
        <w:rPr>
          <w:rFonts w:eastAsia="Times New Roman" w:cs="Arial"/>
          <w:lang w:eastAsia="en-GB"/>
        </w:rPr>
        <w:t> </w:t>
      </w:r>
    </w:p>
    <w:p w14:paraId="6434C83A" w14:textId="59EF3B94" w:rsidR="000F78F1" w:rsidRPr="00C0672F" w:rsidRDefault="000F78F1" w:rsidP="000F78F1">
      <w:pPr>
        <w:spacing w:after="0"/>
        <w:textAlignment w:val="baseline"/>
        <w:rPr>
          <w:rFonts w:eastAsia="Times New Roman" w:cs="Arial"/>
          <w:lang w:eastAsia="en-GB"/>
        </w:rPr>
      </w:pPr>
      <w:r w:rsidRPr="00C0672F">
        <w:rPr>
          <w:rFonts w:eastAsia="Times New Roman" w:cs="Arial"/>
          <w:lang w:eastAsia="en-GB"/>
        </w:rPr>
        <w:t xml:space="preserve">This underspend relates to staffing as the service has </w:t>
      </w:r>
      <w:proofErr w:type="gramStart"/>
      <w:r w:rsidRPr="00C0672F">
        <w:rPr>
          <w:rFonts w:eastAsia="Times New Roman" w:cs="Arial"/>
          <w:lang w:eastAsia="en-GB"/>
        </w:rPr>
        <w:t>a number of</w:t>
      </w:r>
      <w:proofErr w:type="gramEnd"/>
      <w:r w:rsidRPr="00C0672F">
        <w:rPr>
          <w:rFonts w:eastAsia="Times New Roman" w:cs="Arial"/>
          <w:lang w:eastAsia="en-GB"/>
        </w:rPr>
        <w:t xml:space="preserve"> vacant posts that </w:t>
      </w:r>
      <w:r w:rsidR="00B233D8">
        <w:rPr>
          <w:rFonts w:eastAsia="Times New Roman" w:cs="Arial"/>
          <w:lang w:eastAsia="en-GB"/>
        </w:rPr>
        <w:t>it is</w:t>
      </w:r>
      <w:r w:rsidRPr="00C0672F">
        <w:rPr>
          <w:rFonts w:eastAsia="Times New Roman" w:cs="Arial"/>
          <w:lang w:eastAsia="en-GB"/>
        </w:rPr>
        <w:t xml:space="preserve"> trying to recruit to. </w:t>
      </w:r>
    </w:p>
    <w:p w14:paraId="57F235AE" w14:textId="77777777" w:rsidR="000F78F1" w:rsidRPr="00C0672F" w:rsidRDefault="000F78F1" w:rsidP="000F78F1">
      <w:pPr>
        <w:spacing w:after="0"/>
        <w:textAlignment w:val="baseline"/>
        <w:rPr>
          <w:rFonts w:eastAsia="Times New Roman" w:cs="Arial"/>
          <w:lang w:eastAsia="en-GB"/>
        </w:rPr>
      </w:pPr>
    </w:p>
    <w:p w14:paraId="02024189" w14:textId="1C72730E" w:rsidR="000F78F1" w:rsidRPr="00C0672F" w:rsidRDefault="000F78F1" w:rsidP="000F78F1">
      <w:pPr>
        <w:spacing w:after="0"/>
        <w:textAlignment w:val="baseline"/>
        <w:rPr>
          <w:rFonts w:ascii="Segoe UI" w:eastAsia="Times New Roman" w:hAnsi="Segoe UI" w:cs="Segoe UI"/>
          <w:sz w:val="18"/>
          <w:szCs w:val="18"/>
          <w:lang w:eastAsia="en-GB"/>
        </w:rPr>
      </w:pPr>
      <w:r w:rsidRPr="00C0672F">
        <w:rPr>
          <w:rFonts w:eastAsia="Times New Roman" w:cs="Arial"/>
          <w:lang w:eastAsia="en-GB"/>
        </w:rPr>
        <w:t>An area of pressure within these services is related to street lighting energy, the revised price for energy will be known in October and is expected to increase by 66%</w:t>
      </w:r>
      <w:r w:rsidR="007C2449">
        <w:rPr>
          <w:rFonts w:eastAsia="Times New Roman" w:cs="Arial"/>
          <w:lang w:eastAsia="en-GB"/>
        </w:rPr>
        <w:t>,</w:t>
      </w:r>
      <w:r w:rsidRPr="00C0672F">
        <w:rPr>
          <w:rFonts w:eastAsia="Times New Roman" w:cs="Arial"/>
          <w:lang w:eastAsia="en-GB"/>
        </w:rPr>
        <w:t xml:space="preserve"> resulting in overspends of c£800,000. However,</w:t>
      </w:r>
      <w:r w:rsidR="00E023D5">
        <w:rPr>
          <w:rFonts w:eastAsia="Times New Roman" w:cs="Arial"/>
          <w:lang w:eastAsia="en-GB"/>
        </w:rPr>
        <w:t xml:space="preserve"> </w:t>
      </w:r>
      <w:r w:rsidRPr="00C0672F">
        <w:rPr>
          <w:rFonts w:eastAsia="Times New Roman" w:cs="Arial"/>
          <w:lang w:eastAsia="en-GB"/>
        </w:rPr>
        <w:t xml:space="preserve">a provision </w:t>
      </w:r>
      <w:r w:rsidR="00C11E9F">
        <w:rPr>
          <w:rFonts w:eastAsia="Times New Roman" w:cs="Arial"/>
          <w:lang w:eastAsia="en-GB"/>
        </w:rPr>
        <w:t xml:space="preserve">has been made </w:t>
      </w:r>
      <w:r w:rsidRPr="00C0672F">
        <w:rPr>
          <w:rFonts w:eastAsia="Times New Roman" w:cs="Arial"/>
          <w:lang w:eastAsia="en-GB"/>
        </w:rPr>
        <w:t>at the end of 2021/22 to cover these additional costs so no variance to budget is reported in the forecast. </w:t>
      </w:r>
    </w:p>
    <w:p w14:paraId="2B98D8C5" w14:textId="77777777" w:rsidR="000F78F1" w:rsidRPr="00C0672F" w:rsidRDefault="000F78F1" w:rsidP="000F78F1">
      <w:pPr>
        <w:spacing w:after="0"/>
        <w:textAlignment w:val="baseline"/>
        <w:rPr>
          <w:rFonts w:ascii="Segoe UI" w:eastAsia="Times New Roman" w:hAnsi="Segoe UI" w:cs="Segoe UI"/>
          <w:sz w:val="18"/>
          <w:szCs w:val="18"/>
          <w:lang w:eastAsia="en-GB"/>
        </w:rPr>
      </w:pPr>
      <w:r w:rsidRPr="00C0672F">
        <w:rPr>
          <w:rFonts w:eastAsia="Times New Roman" w:cs="Arial"/>
          <w:lang w:eastAsia="en-GB"/>
        </w:rPr>
        <w:t> </w:t>
      </w:r>
    </w:p>
    <w:p w14:paraId="21C0D9A8" w14:textId="5E9C1B7B" w:rsidR="000F78F1" w:rsidRPr="0077379D" w:rsidRDefault="000F78F1" w:rsidP="000F78F1">
      <w:pPr>
        <w:spacing w:after="0"/>
        <w:textAlignment w:val="baseline"/>
        <w:rPr>
          <w:rFonts w:ascii="Segoe UI" w:eastAsia="Times New Roman" w:hAnsi="Segoe UI" w:cs="Segoe UI"/>
          <w:sz w:val="18"/>
          <w:szCs w:val="18"/>
          <w:lang w:eastAsia="en-GB"/>
        </w:rPr>
      </w:pPr>
      <w:r w:rsidRPr="0077379D">
        <w:rPr>
          <w:rFonts w:eastAsia="Times New Roman" w:cs="Arial"/>
          <w:b/>
          <w:bCs/>
          <w:lang w:eastAsia="en-GB"/>
        </w:rPr>
        <w:t>Facilities Management – Forecast Overspend £1.5</w:t>
      </w:r>
      <w:r w:rsidR="0077379D" w:rsidRPr="0077379D">
        <w:rPr>
          <w:rFonts w:eastAsia="Times New Roman" w:cs="Arial"/>
          <w:b/>
          <w:bCs/>
          <w:lang w:eastAsia="en-GB"/>
        </w:rPr>
        <w:t>99</w:t>
      </w:r>
      <w:r w:rsidRPr="0077379D">
        <w:rPr>
          <w:rFonts w:eastAsia="Times New Roman" w:cs="Arial"/>
          <w:b/>
          <w:bCs/>
          <w:lang w:eastAsia="en-GB"/>
        </w:rPr>
        <w:t>m</w:t>
      </w:r>
      <w:r w:rsidRPr="0077379D">
        <w:rPr>
          <w:rFonts w:eastAsia="Times New Roman" w:cs="Arial"/>
          <w:lang w:eastAsia="en-GB"/>
        </w:rPr>
        <w:t> </w:t>
      </w:r>
    </w:p>
    <w:p w14:paraId="35E642A0" w14:textId="77777777" w:rsidR="0077379D" w:rsidRPr="0077379D" w:rsidRDefault="0077379D" w:rsidP="0077379D">
      <w:pPr>
        <w:spacing w:after="0"/>
        <w:rPr>
          <w:rFonts w:eastAsia="Times New Roman" w:cs="Arial"/>
          <w:lang w:eastAsia="en-GB"/>
        </w:rPr>
      </w:pPr>
      <w:r w:rsidRPr="0077379D">
        <w:rPr>
          <w:rFonts w:eastAsia="Times New Roman" w:cs="Arial"/>
          <w:lang w:eastAsia="en-GB"/>
        </w:rPr>
        <w:t xml:space="preserve">The areas where there will likely be variation to budget in 2022/23 are the same as 2021/22, namely school catering, staff and civic catering and premises running costs including repairs and maintenance. </w:t>
      </w:r>
    </w:p>
    <w:p w14:paraId="5D96CAAA" w14:textId="77777777" w:rsidR="0077379D" w:rsidRPr="0077379D" w:rsidRDefault="0077379D" w:rsidP="0077379D">
      <w:pPr>
        <w:spacing w:after="0"/>
        <w:rPr>
          <w:rFonts w:eastAsia="Times New Roman" w:cs="Arial"/>
          <w:lang w:eastAsia="en-GB"/>
        </w:rPr>
      </w:pPr>
    </w:p>
    <w:p w14:paraId="7CE9D417" w14:textId="0FF0B2C6" w:rsidR="0077379D" w:rsidRPr="0077379D" w:rsidRDefault="0077379D" w:rsidP="0077379D">
      <w:pPr>
        <w:spacing w:after="0"/>
        <w:rPr>
          <w:rFonts w:eastAsia="Times New Roman" w:cs="Arial"/>
          <w:lang w:eastAsia="en-GB"/>
        </w:rPr>
      </w:pPr>
      <w:r w:rsidRPr="0077379D">
        <w:rPr>
          <w:rFonts w:eastAsia="Times New Roman" w:cs="Arial"/>
          <w:lang w:eastAsia="en-GB"/>
        </w:rPr>
        <w:t xml:space="preserve">The most significant variance is school catering which is forecast to overspend by £1.154m predominantly due to additional staffing costs to reflect the current pay offer and increase to Foundation Living Wage and a smaller amount relating to food price inflation.  The forecast reflects the trading position for the end of 2021/22 academic year and an estimate for expected trade in the 2022/23 academic year up to March. The service is actively looking at menus and food served in schools to try to minimise the impacts </w:t>
      </w:r>
      <w:r w:rsidR="00795FB6" w:rsidRPr="0077379D">
        <w:rPr>
          <w:rFonts w:eastAsia="Times New Roman" w:cs="Arial"/>
          <w:lang w:eastAsia="en-GB"/>
        </w:rPr>
        <w:t>o</w:t>
      </w:r>
      <w:r w:rsidR="00795FB6">
        <w:rPr>
          <w:rFonts w:eastAsia="Times New Roman" w:cs="Arial"/>
          <w:lang w:eastAsia="en-GB"/>
        </w:rPr>
        <w:t>f</w:t>
      </w:r>
      <w:r w:rsidR="00795FB6" w:rsidRPr="0077379D">
        <w:rPr>
          <w:rFonts w:eastAsia="Times New Roman" w:cs="Arial"/>
          <w:lang w:eastAsia="en-GB"/>
        </w:rPr>
        <w:t xml:space="preserve"> </w:t>
      </w:r>
      <w:r w:rsidRPr="0077379D">
        <w:rPr>
          <w:rFonts w:eastAsia="Times New Roman" w:cs="Arial"/>
          <w:lang w:eastAsia="en-GB"/>
        </w:rPr>
        <w:t>rising food and staffing costs.</w:t>
      </w:r>
    </w:p>
    <w:p w14:paraId="317A6B9F" w14:textId="77777777" w:rsidR="0077379D" w:rsidRPr="0077379D" w:rsidRDefault="0077379D" w:rsidP="0077379D">
      <w:pPr>
        <w:spacing w:after="0"/>
        <w:rPr>
          <w:rFonts w:eastAsia="Times New Roman" w:cs="Arial"/>
          <w:lang w:eastAsia="en-GB"/>
        </w:rPr>
      </w:pPr>
    </w:p>
    <w:p w14:paraId="407F7094" w14:textId="77777777" w:rsidR="0077379D" w:rsidRPr="0077379D" w:rsidRDefault="0077379D" w:rsidP="0077379D">
      <w:pPr>
        <w:spacing w:after="0"/>
        <w:rPr>
          <w:rFonts w:eastAsia="Times New Roman" w:cs="Arial"/>
          <w:lang w:eastAsia="en-GB"/>
        </w:rPr>
      </w:pPr>
      <w:r w:rsidRPr="0077379D">
        <w:rPr>
          <w:rFonts w:eastAsia="Times New Roman" w:cs="Arial"/>
          <w:lang w:eastAsia="en-GB"/>
        </w:rPr>
        <w:t xml:space="preserve">Staff and civic catering </w:t>
      </w:r>
      <w:proofErr w:type="gramStart"/>
      <w:r w:rsidRPr="0077379D">
        <w:rPr>
          <w:rFonts w:eastAsia="Times New Roman" w:cs="Arial"/>
          <w:lang w:eastAsia="en-GB"/>
        </w:rPr>
        <w:t>is</w:t>
      </w:r>
      <w:proofErr w:type="gramEnd"/>
      <w:r w:rsidRPr="0077379D">
        <w:rPr>
          <w:rFonts w:eastAsia="Times New Roman" w:cs="Arial"/>
          <w:lang w:eastAsia="en-GB"/>
        </w:rPr>
        <w:t xml:space="preserve"> forecast to overspend by £120,000 due to lower sales as a result of a significant number of staff continuing to predominantly work from home. Footfall has increased in recent months and the financial position has improved compared to previous forecasts.</w:t>
      </w:r>
    </w:p>
    <w:p w14:paraId="740EB1FB" w14:textId="77777777" w:rsidR="0077379D" w:rsidRPr="0077379D" w:rsidRDefault="0077379D" w:rsidP="0077379D">
      <w:pPr>
        <w:spacing w:after="0"/>
        <w:rPr>
          <w:rFonts w:eastAsia="Times New Roman" w:cs="Arial"/>
          <w:lang w:eastAsia="en-GB"/>
        </w:rPr>
      </w:pPr>
      <w:r w:rsidRPr="0077379D">
        <w:rPr>
          <w:rFonts w:eastAsia="Times New Roman" w:cs="Arial"/>
          <w:lang w:eastAsia="en-GB"/>
        </w:rPr>
        <w:t xml:space="preserve"> </w:t>
      </w:r>
    </w:p>
    <w:p w14:paraId="48B5CFF9" w14:textId="28947EE9" w:rsidR="000F78F1" w:rsidRPr="00BA3F1C" w:rsidRDefault="0077379D" w:rsidP="0077379D">
      <w:pPr>
        <w:spacing w:after="0"/>
        <w:rPr>
          <w:rFonts w:eastAsia="Times New Roman" w:cs="Arial"/>
          <w:lang w:eastAsia="en-GB"/>
        </w:rPr>
      </w:pPr>
      <w:r w:rsidRPr="0077379D">
        <w:rPr>
          <w:rFonts w:eastAsia="Times New Roman" w:cs="Arial"/>
          <w:lang w:eastAsia="en-GB"/>
        </w:rPr>
        <w:t>Premises running costs including repairs and maintenance shows an overall forecast overspend of c£900,000</w:t>
      </w:r>
      <w:r w:rsidR="007D7DB0">
        <w:rPr>
          <w:rFonts w:eastAsia="Times New Roman" w:cs="Arial"/>
          <w:lang w:eastAsia="en-GB"/>
        </w:rPr>
        <w:t>,</w:t>
      </w:r>
      <w:r w:rsidRPr="0077379D">
        <w:rPr>
          <w:rFonts w:eastAsia="Times New Roman" w:cs="Arial"/>
          <w:lang w:eastAsia="en-GB"/>
        </w:rPr>
        <w:t xml:space="preserve"> however £700,000 of that relates to the costs of electricity and gas where a provision was made at the end of 2021/22 to cover price increases</w:t>
      </w:r>
      <w:r w:rsidR="00B514E1">
        <w:rPr>
          <w:rFonts w:eastAsia="Times New Roman" w:cs="Arial"/>
          <w:lang w:eastAsia="en-GB"/>
        </w:rPr>
        <w:t>,</w:t>
      </w:r>
      <w:r w:rsidRPr="0077379D">
        <w:rPr>
          <w:rFonts w:eastAsia="Times New Roman" w:cs="Arial"/>
          <w:lang w:eastAsia="en-GB"/>
        </w:rPr>
        <w:t xml:space="preserve"> so the variance to budget is £196,000. The main reason for the overspend to budget is due to higher spend on repairs and maintenance as buildings had significantly less </w:t>
      </w:r>
      <w:r w:rsidRPr="00BA3F1C">
        <w:rPr>
          <w:rFonts w:eastAsia="Times New Roman" w:cs="Arial"/>
          <w:lang w:eastAsia="en-GB"/>
        </w:rPr>
        <w:t>spent on them during the pandemic and now more faults are being identified.</w:t>
      </w:r>
    </w:p>
    <w:p w14:paraId="3B504A5E" w14:textId="77777777" w:rsidR="0077379D" w:rsidRPr="00BA3F1C" w:rsidRDefault="0077379D" w:rsidP="0077379D">
      <w:pPr>
        <w:spacing w:after="0"/>
        <w:rPr>
          <w:rFonts w:cs="Arial"/>
        </w:rPr>
      </w:pPr>
    </w:p>
    <w:p w14:paraId="01F84D1E" w14:textId="57624200" w:rsidR="000F78F1" w:rsidRPr="00BA3F1C" w:rsidRDefault="000F78F1" w:rsidP="000F78F1">
      <w:pPr>
        <w:spacing w:after="0"/>
        <w:rPr>
          <w:rFonts w:cs="Arial"/>
          <w:b/>
          <w:bCs/>
          <w:u w:val="single"/>
        </w:rPr>
      </w:pPr>
      <w:r w:rsidRPr="00BA3F1C">
        <w:rPr>
          <w:rFonts w:cs="Arial"/>
          <w:b/>
          <w:bCs/>
          <w:u w:val="single"/>
        </w:rPr>
        <w:t>Corporate Services – Forecast overspend £</w:t>
      </w:r>
      <w:r w:rsidR="00BA3F1C" w:rsidRPr="00BA3F1C">
        <w:rPr>
          <w:rFonts w:cs="Arial"/>
          <w:b/>
          <w:bCs/>
          <w:u w:val="single"/>
        </w:rPr>
        <w:t>1.047</w:t>
      </w:r>
      <w:r w:rsidRPr="00BA3F1C">
        <w:rPr>
          <w:rFonts w:cs="Arial"/>
          <w:b/>
          <w:bCs/>
          <w:u w:val="single"/>
        </w:rPr>
        <w:t>m</w:t>
      </w:r>
    </w:p>
    <w:p w14:paraId="2DB31A38" w14:textId="77777777" w:rsidR="000F78F1" w:rsidRPr="006B08CB" w:rsidRDefault="000F78F1" w:rsidP="000F78F1">
      <w:pPr>
        <w:spacing w:after="0"/>
        <w:rPr>
          <w:rFonts w:cs="Arial"/>
          <w:b/>
          <w:bCs/>
          <w:highlight w:val="yellow"/>
        </w:rPr>
      </w:pPr>
    </w:p>
    <w:p w14:paraId="4B01912A" w14:textId="7B911564" w:rsidR="000F78F1" w:rsidRPr="00BA3F1C" w:rsidRDefault="000F78F1" w:rsidP="000F78F1">
      <w:pPr>
        <w:spacing w:after="0"/>
        <w:rPr>
          <w:rFonts w:cs="Arial"/>
          <w:b/>
          <w:bCs/>
        </w:rPr>
      </w:pPr>
      <w:r w:rsidRPr="00BA3F1C">
        <w:rPr>
          <w:rFonts w:cs="Arial"/>
          <w:b/>
          <w:bCs/>
        </w:rPr>
        <w:t>Coroners Service – Forecast overspend £0.</w:t>
      </w:r>
      <w:r w:rsidR="00BA3F1C" w:rsidRPr="00BA3F1C">
        <w:rPr>
          <w:rFonts w:cs="Arial"/>
          <w:b/>
          <w:bCs/>
        </w:rPr>
        <w:t>094</w:t>
      </w:r>
      <w:r w:rsidRPr="00BA3F1C">
        <w:rPr>
          <w:rFonts w:cs="Arial"/>
          <w:b/>
          <w:bCs/>
        </w:rPr>
        <w:t>m</w:t>
      </w:r>
    </w:p>
    <w:p w14:paraId="162AD94B" w14:textId="77777777" w:rsidR="000F78F1" w:rsidRPr="00BA3F1C" w:rsidRDefault="000F78F1" w:rsidP="000F78F1">
      <w:pPr>
        <w:spacing w:after="0"/>
        <w:rPr>
          <w:rFonts w:cs="Arial"/>
        </w:rPr>
      </w:pPr>
      <w:r w:rsidRPr="00BA3F1C">
        <w:rPr>
          <w:rFonts w:cs="Arial"/>
        </w:rPr>
        <w:t xml:space="preserve">An overspend is forecast on staff costs due to the pay award (Coroners have their own Joint Negotiating Committee for Coroners that determine their pay award), in addition to those staff impacted by the pay award for those staff covered by the National Joint Council. </w:t>
      </w:r>
    </w:p>
    <w:p w14:paraId="04DECE58" w14:textId="77777777" w:rsidR="000F78F1" w:rsidRPr="00BA3F1C" w:rsidRDefault="000F78F1" w:rsidP="000F78F1">
      <w:pPr>
        <w:spacing w:after="0"/>
        <w:rPr>
          <w:rFonts w:cs="Arial"/>
        </w:rPr>
      </w:pPr>
    </w:p>
    <w:p w14:paraId="729EAD01" w14:textId="7B4A59C6" w:rsidR="000F78F1" w:rsidRPr="00BA3F1C" w:rsidRDefault="000F78F1" w:rsidP="000F78F1">
      <w:pPr>
        <w:spacing w:after="0"/>
        <w:rPr>
          <w:rFonts w:cs="Arial"/>
        </w:rPr>
      </w:pPr>
      <w:r w:rsidRPr="00BA3F1C">
        <w:rPr>
          <w:rFonts w:cs="Arial"/>
        </w:rPr>
        <w:t>There are overspends forecast of c£0.</w:t>
      </w:r>
      <w:r w:rsidR="00BA3F1C" w:rsidRPr="00BA3F1C">
        <w:rPr>
          <w:rFonts w:cs="Arial"/>
        </w:rPr>
        <w:t>073</w:t>
      </w:r>
      <w:r w:rsidRPr="00BA3F1C">
        <w:rPr>
          <w:rFonts w:cs="Arial"/>
        </w:rPr>
        <w:t>m on supplies and services due to higher contract prices which the service</w:t>
      </w:r>
      <w:r w:rsidR="009A4037">
        <w:rPr>
          <w:rFonts w:cs="Arial"/>
        </w:rPr>
        <w:t>,</w:t>
      </w:r>
      <w:r w:rsidRPr="00BA3F1C">
        <w:rPr>
          <w:rFonts w:cs="Arial"/>
        </w:rPr>
        <w:t xml:space="preserve"> through efficiencies</w:t>
      </w:r>
      <w:r w:rsidR="009A4037">
        <w:rPr>
          <w:rFonts w:cs="Arial"/>
        </w:rPr>
        <w:t>,</w:t>
      </w:r>
      <w:r w:rsidRPr="00BA3F1C">
        <w:rPr>
          <w:rFonts w:cs="Arial"/>
        </w:rPr>
        <w:t xml:space="preserve"> has previously been able to cover.  However, this option will no longer be viable going forward. There is also an anticipated increase</w:t>
      </w:r>
      <w:r w:rsidR="00877C76">
        <w:rPr>
          <w:rFonts w:cs="Arial"/>
        </w:rPr>
        <w:t>d</w:t>
      </w:r>
      <w:r w:rsidRPr="00BA3F1C">
        <w:rPr>
          <w:rFonts w:cs="Arial"/>
        </w:rPr>
        <w:t xml:space="preserve"> cost of post-mortems and their associated costs due to the training of new coroner officers.  </w:t>
      </w:r>
    </w:p>
    <w:p w14:paraId="4C5FF18E" w14:textId="77777777" w:rsidR="000F78F1" w:rsidRPr="00BA3F1C" w:rsidRDefault="000F78F1" w:rsidP="000F78F1">
      <w:pPr>
        <w:spacing w:after="0"/>
        <w:rPr>
          <w:rFonts w:cs="Arial"/>
        </w:rPr>
      </w:pPr>
    </w:p>
    <w:p w14:paraId="17C2A789" w14:textId="77777777" w:rsidR="000F78F1" w:rsidRPr="00BA3F1C" w:rsidRDefault="000F78F1" w:rsidP="000F78F1">
      <w:pPr>
        <w:spacing w:after="0"/>
        <w:rPr>
          <w:rFonts w:cs="Arial"/>
        </w:rPr>
      </w:pPr>
      <w:r w:rsidRPr="00BA3F1C">
        <w:rPr>
          <w:rFonts w:cs="Arial"/>
        </w:rPr>
        <w:t>The overspends above are offset by additional income achieved by the service.</w:t>
      </w:r>
    </w:p>
    <w:p w14:paraId="34C52ABD" w14:textId="77777777" w:rsidR="000F78F1" w:rsidRPr="00BA3F1C" w:rsidRDefault="000F78F1" w:rsidP="000F78F1">
      <w:pPr>
        <w:spacing w:after="0"/>
        <w:rPr>
          <w:rFonts w:cs="Arial"/>
        </w:rPr>
      </w:pPr>
    </w:p>
    <w:p w14:paraId="0B057087" w14:textId="6A66587C" w:rsidR="000F78F1" w:rsidRPr="006B08CB" w:rsidRDefault="000F78F1" w:rsidP="000F78F1">
      <w:pPr>
        <w:spacing w:after="0"/>
        <w:rPr>
          <w:rFonts w:cs="Arial"/>
          <w:b/>
          <w:highlight w:val="yellow"/>
        </w:rPr>
      </w:pPr>
      <w:r w:rsidRPr="00BA3F1C">
        <w:rPr>
          <w:rFonts w:cs="Arial"/>
          <w:b/>
        </w:rPr>
        <w:t>Legal</w:t>
      </w:r>
      <w:r w:rsidR="00826629">
        <w:rPr>
          <w:rFonts w:cs="Arial"/>
          <w:b/>
        </w:rPr>
        <w:t xml:space="preserve"> and Governance Service </w:t>
      </w:r>
      <w:r w:rsidRPr="00BA3F1C">
        <w:rPr>
          <w:rFonts w:cs="Arial"/>
          <w:b/>
        </w:rPr>
        <w:t>– Forecast Overspend £</w:t>
      </w:r>
      <w:r w:rsidR="00BA3F1C" w:rsidRPr="00BA3F1C">
        <w:rPr>
          <w:rFonts w:cs="Arial"/>
          <w:b/>
        </w:rPr>
        <w:t>0.499</w:t>
      </w:r>
      <w:r w:rsidRPr="00BA3F1C">
        <w:rPr>
          <w:rFonts w:cs="Arial"/>
          <w:b/>
        </w:rPr>
        <w:t>m</w:t>
      </w:r>
    </w:p>
    <w:p w14:paraId="6ABA92AE" w14:textId="459B11C6" w:rsidR="000F78F1" w:rsidRPr="00BA3F1C" w:rsidRDefault="000F78F1" w:rsidP="000F78F1">
      <w:pPr>
        <w:spacing w:after="0"/>
        <w:rPr>
          <w:rFonts w:cs="Arial"/>
        </w:rPr>
      </w:pPr>
      <w:r w:rsidRPr="00BA3F1C">
        <w:rPr>
          <w:rFonts w:cs="Arial"/>
        </w:rPr>
        <w:t>Legal and Governance is forecast to overspend by £0.</w:t>
      </w:r>
      <w:r w:rsidR="00826629">
        <w:rPr>
          <w:rFonts w:cs="Arial"/>
        </w:rPr>
        <w:t>499</w:t>
      </w:r>
      <w:r w:rsidRPr="00BA3F1C">
        <w:rPr>
          <w:rFonts w:cs="Arial"/>
        </w:rPr>
        <w:t xml:space="preserve">m at Quarter </w:t>
      </w:r>
      <w:r w:rsidR="00BA3F1C" w:rsidRPr="00BA3F1C">
        <w:rPr>
          <w:rFonts w:cs="Arial"/>
        </w:rPr>
        <w:t>3</w:t>
      </w:r>
      <w:r w:rsidRPr="00BA3F1C">
        <w:rPr>
          <w:rFonts w:cs="Arial"/>
        </w:rPr>
        <w:t xml:space="preserve">. This is comprised of </w:t>
      </w:r>
      <w:proofErr w:type="gramStart"/>
      <w:r w:rsidRPr="00BA3F1C">
        <w:rPr>
          <w:rFonts w:cs="Arial"/>
        </w:rPr>
        <w:t>a number of</w:t>
      </w:r>
      <w:proofErr w:type="gramEnd"/>
      <w:r w:rsidRPr="00BA3F1C">
        <w:rPr>
          <w:rFonts w:cs="Arial"/>
        </w:rPr>
        <w:t xml:space="preserve"> variances, the largest being a forecast overspend on staffing predominantly due to the pay award and agency costs, offset by vacancies. </w:t>
      </w:r>
    </w:p>
    <w:p w14:paraId="1299FA6D" w14:textId="77777777" w:rsidR="000F78F1" w:rsidRPr="00BA3F1C" w:rsidRDefault="000F78F1" w:rsidP="000F78F1">
      <w:pPr>
        <w:spacing w:after="0"/>
        <w:rPr>
          <w:rFonts w:cs="Arial"/>
        </w:rPr>
      </w:pPr>
    </w:p>
    <w:p w14:paraId="3828D993" w14:textId="698A7A2B" w:rsidR="000F78F1" w:rsidRPr="00BA3F1C" w:rsidRDefault="00BA3F1C" w:rsidP="000F78F1">
      <w:pPr>
        <w:spacing w:after="0"/>
        <w:rPr>
          <w:rFonts w:cs="Arial"/>
        </w:rPr>
      </w:pPr>
      <w:r w:rsidRPr="00BA3F1C">
        <w:rPr>
          <w:rFonts w:cs="Arial"/>
        </w:rPr>
        <w:t xml:space="preserve">A forecast overspend is reported across members </w:t>
      </w:r>
      <w:proofErr w:type="gramStart"/>
      <w:r w:rsidRPr="00BA3F1C">
        <w:rPr>
          <w:rFonts w:cs="Arial"/>
        </w:rPr>
        <w:t>allowances,</w:t>
      </w:r>
      <w:proofErr w:type="gramEnd"/>
      <w:r w:rsidRPr="00BA3F1C">
        <w:rPr>
          <w:rFonts w:cs="Arial"/>
        </w:rPr>
        <w:t xml:space="preserve"> however this increase has been included in the budget for 2023/24. An underspend is forecast </w:t>
      </w:r>
      <w:r w:rsidR="000F78F1" w:rsidRPr="00BA3F1C">
        <w:rPr>
          <w:rFonts w:cs="Arial"/>
        </w:rPr>
        <w:t>on legal fees of c£0.3</w:t>
      </w:r>
      <w:r w:rsidRPr="00BA3F1C">
        <w:rPr>
          <w:rFonts w:cs="Arial"/>
        </w:rPr>
        <w:t>49</w:t>
      </w:r>
      <w:r w:rsidR="000F78F1" w:rsidRPr="00BA3F1C">
        <w:rPr>
          <w:rFonts w:cs="Arial"/>
        </w:rPr>
        <w:t>m based on profiling of cases to date with an offsetting pressure of c£0.3</w:t>
      </w:r>
      <w:r w:rsidRPr="00BA3F1C">
        <w:rPr>
          <w:rFonts w:cs="Arial"/>
        </w:rPr>
        <w:t>21</w:t>
      </w:r>
      <w:r w:rsidR="000F78F1" w:rsidRPr="00BA3F1C">
        <w:rPr>
          <w:rFonts w:cs="Arial"/>
        </w:rPr>
        <w:t xml:space="preserve">m income, mainly in relation to litigation fees. </w:t>
      </w:r>
    </w:p>
    <w:p w14:paraId="007DAA0D" w14:textId="6FF173CF" w:rsidR="00BA3F1C" w:rsidRDefault="00BA3F1C" w:rsidP="000F78F1">
      <w:pPr>
        <w:spacing w:after="0"/>
        <w:rPr>
          <w:rFonts w:cs="Arial"/>
          <w:highlight w:val="yellow"/>
        </w:rPr>
      </w:pPr>
    </w:p>
    <w:p w14:paraId="122FBC2A" w14:textId="3256F7AE" w:rsidR="000F78F1" w:rsidRPr="00BA3F1C" w:rsidRDefault="00BA3F1C" w:rsidP="000F78F1">
      <w:pPr>
        <w:spacing w:after="0"/>
        <w:rPr>
          <w:rFonts w:cs="Arial"/>
        </w:rPr>
      </w:pPr>
      <w:r w:rsidRPr="00C91895">
        <w:rPr>
          <w:rFonts w:cs="Arial"/>
          <w:b/>
        </w:rPr>
        <w:t>Registrars – Forecast Overspend £0.453m</w:t>
      </w:r>
    </w:p>
    <w:p w14:paraId="6410F736" w14:textId="32D6A9D5" w:rsidR="0013228A" w:rsidRPr="006B08CB" w:rsidRDefault="000F78F1" w:rsidP="000F78F1">
      <w:pPr>
        <w:spacing w:after="0"/>
        <w:rPr>
          <w:rFonts w:cs="Arial"/>
          <w:highlight w:val="yellow"/>
        </w:rPr>
      </w:pPr>
      <w:r w:rsidRPr="0013228A">
        <w:rPr>
          <w:rFonts w:cs="Arial"/>
        </w:rPr>
        <w:t xml:space="preserve">The </w:t>
      </w:r>
      <w:proofErr w:type="gramStart"/>
      <w:r w:rsidRPr="0013228A">
        <w:rPr>
          <w:rFonts w:cs="Arial"/>
        </w:rPr>
        <w:t>Registrars</w:t>
      </w:r>
      <w:proofErr w:type="gramEnd"/>
      <w:r w:rsidRPr="0013228A">
        <w:rPr>
          <w:rFonts w:cs="Arial"/>
        </w:rPr>
        <w:t xml:space="preserve"> Service is forecast to </w:t>
      </w:r>
      <w:r w:rsidR="0013228A" w:rsidRPr="0013228A">
        <w:rPr>
          <w:rFonts w:cs="Arial"/>
        </w:rPr>
        <w:t>over</w:t>
      </w:r>
      <w:r w:rsidRPr="0013228A">
        <w:rPr>
          <w:rFonts w:cs="Arial"/>
        </w:rPr>
        <w:t>spend by £0.</w:t>
      </w:r>
      <w:r w:rsidR="0013228A" w:rsidRPr="0013228A">
        <w:rPr>
          <w:rFonts w:cs="Arial"/>
        </w:rPr>
        <w:t>453</w:t>
      </w:r>
      <w:r w:rsidRPr="0013228A">
        <w:rPr>
          <w:rFonts w:cs="Arial"/>
        </w:rPr>
        <w:t xml:space="preserve">m. </w:t>
      </w:r>
      <w:r w:rsidR="0013228A" w:rsidRPr="0013228A">
        <w:rPr>
          <w:rFonts w:cs="Arial"/>
        </w:rPr>
        <w:t xml:space="preserve">There is a pressure across the </w:t>
      </w:r>
      <w:r w:rsidRPr="0013228A">
        <w:rPr>
          <w:rFonts w:cs="Arial"/>
        </w:rPr>
        <w:t xml:space="preserve">staffing </w:t>
      </w:r>
      <w:r w:rsidR="0013228A" w:rsidRPr="0013228A">
        <w:rPr>
          <w:rFonts w:cs="Arial"/>
        </w:rPr>
        <w:t xml:space="preserve">budget </w:t>
      </w:r>
      <w:r w:rsidRPr="0013228A">
        <w:rPr>
          <w:rFonts w:cs="Arial"/>
        </w:rPr>
        <w:t>due to the higher than budgeted pay award</w:t>
      </w:r>
      <w:r w:rsidR="0013228A" w:rsidRPr="0013228A">
        <w:rPr>
          <w:rFonts w:cs="Arial"/>
        </w:rPr>
        <w:t xml:space="preserve">. In addition, a pressure is reported across income budgets due </w:t>
      </w:r>
      <w:r w:rsidR="0013228A" w:rsidRPr="0013228A">
        <w:rPr>
          <w:rStyle w:val="normaltextrun"/>
          <w:rFonts w:cs="Arial"/>
          <w:shd w:val="clear" w:color="auto" w:fill="FFFFFF"/>
        </w:rPr>
        <w:t>to additional information in relation to income being provided by the service in East Lancashire. This has meant that income that relates to future years has been removed to reflect</w:t>
      </w:r>
      <w:r w:rsidR="0013228A">
        <w:rPr>
          <w:rStyle w:val="normaltextrun"/>
          <w:rFonts w:cs="Arial"/>
          <w:shd w:val="clear" w:color="auto" w:fill="FFFFFF"/>
        </w:rPr>
        <w:t xml:space="preserve"> the</w:t>
      </w:r>
      <w:r w:rsidR="0013228A" w:rsidRPr="006F50C0">
        <w:rPr>
          <w:rStyle w:val="normaltextrun"/>
          <w:rFonts w:cs="Arial"/>
          <w:shd w:val="clear" w:color="auto" w:fill="FFFFFF"/>
        </w:rPr>
        <w:t xml:space="preserve"> change in policy in November 2019.</w:t>
      </w:r>
      <w:r w:rsidR="0013228A">
        <w:rPr>
          <w:rStyle w:val="normaltextrun"/>
          <w:rFonts w:cs="Arial"/>
          <w:shd w:val="clear" w:color="auto" w:fill="FFFFFF"/>
        </w:rPr>
        <w:t xml:space="preserve"> </w:t>
      </w:r>
    </w:p>
    <w:p w14:paraId="0CD316EB" w14:textId="77777777" w:rsidR="000F78F1" w:rsidRPr="0013228A" w:rsidRDefault="000F78F1" w:rsidP="000F78F1">
      <w:pPr>
        <w:spacing w:after="0"/>
        <w:rPr>
          <w:rFonts w:cs="Arial"/>
        </w:rPr>
      </w:pPr>
    </w:p>
    <w:p w14:paraId="1922FAD5" w14:textId="77777777" w:rsidR="000F78F1" w:rsidRPr="0013228A" w:rsidRDefault="000F78F1" w:rsidP="000F78F1">
      <w:pPr>
        <w:spacing w:after="0"/>
        <w:rPr>
          <w:rFonts w:cs="Arial"/>
        </w:rPr>
      </w:pPr>
      <w:r w:rsidRPr="0013228A">
        <w:rPr>
          <w:rFonts w:cs="Arial"/>
          <w:b/>
          <w:bCs/>
          <w:u w:val="single"/>
        </w:rPr>
        <w:t>Organisational Development and Change – Forecast underspend £0.102m</w:t>
      </w:r>
    </w:p>
    <w:p w14:paraId="6DFD7F77" w14:textId="77777777" w:rsidR="000F78F1" w:rsidRPr="0013228A" w:rsidRDefault="000F78F1" w:rsidP="000F78F1">
      <w:pPr>
        <w:spacing w:after="0"/>
        <w:textAlignment w:val="baseline"/>
        <w:rPr>
          <w:rFonts w:eastAsia="Times New Roman" w:cs="Arial"/>
          <w:lang w:eastAsia="en-GB"/>
        </w:rPr>
      </w:pPr>
      <w:r w:rsidRPr="0013228A">
        <w:rPr>
          <w:rFonts w:eastAsia="Times New Roman" w:cs="Arial"/>
          <w:lang w:eastAsia="en-GB"/>
        </w:rPr>
        <w:t xml:space="preserve">The forecast underspend largely relates to staff costs. </w:t>
      </w:r>
    </w:p>
    <w:p w14:paraId="310FDA03" w14:textId="77777777" w:rsidR="000F78F1" w:rsidRPr="006B08CB" w:rsidRDefault="000F78F1" w:rsidP="000F78F1">
      <w:pPr>
        <w:spacing w:after="0"/>
        <w:rPr>
          <w:rFonts w:cs="Arial"/>
          <w:highlight w:val="yellow"/>
        </w:rPr>
      </w:pPr>
    </w:p>
    <w:p w14:paraId="482B8094" w14:textId="22DC982C" w:rsidR="000F78F1" w:rsidRPr="0013228A" w:rsidRDefault="000F78F1" w:rsidP="000F78F1">
      <w:pPr>
        <w:spacing w:after="0"/>
        <w:rPr>
          <w:rFonts w:cs="Arial"/>
        </w:rPr>
      </w:pPr>
      <w:r w:rsidRPr="0013228A">
        <w:rPr>
          <w:rFonts w:cs="Arial"/>
          <w:b/>
          <w:bCs/>
          <w:u w:val="single"/>
        </w:rPr>
        <w:t>People Services – Forecast underspend £0.2</w:t>
      </w:r>
      <w:r w:rsidR="0013228A" w:rsidRPr="0013228A">
        <w:rPr>
          <w:rFonts w:cs="Arial"/>
          <w:b/>
          <w:bCs/>
          <w:u w:val="single"/>
        </w:rPr>
        <w:t>53</w:t>
      </w:r>
      <w:r w:rsidRPr="0013228A">
        <w:rPr>
          <w:rFonts w:cs="Arial"/>
          <w:b/>
          <w:bCs/>
          <w:u w:val="single"/>
        </w:rPr>
        <w:t>m</w:t>
      </w:r>
    </w:p>
    <w:p w14:paraId="47F07F4A" w14:textId="77777777" w:rsidR="000F78F1" w:rsidRPr="0013228A" w:rsidRDefault="000F78F1" w:rsidP="000F78F1">
      <w:pPr>
        <w:spacing w:after="0"/>
        <w:rPr>
          <w:rFonts w:cs="Arial"/>
        </w:rPr>
      </w:pPr>
      <w:r w:rsidRPr="0013228A">
        <w:rPr>
          <w:rFonts w:cs="Arial"/>
        </w:rPr>
        <w:t xml:space="preserve">The forecast underspends relate to staff costs and income. </w:t>
      </w:r>
    </w:p>
    <w:p w14:paraId="70500555" w14:textId="77777777" w:rsidR="000F78F1" w:rsidRPr="0013228A" w:rsidRDefault="000F78F1" w:rsidP="000F78F1">
      <w:pPr>
        <w:spacing w:after="0"/>
        <w:rPr>
          <w:rFonts w:cs="Arial"/>
        </w:rPr>
      </w:pPr>
    </w:p>
    <w:p w14:paraId="48E98AB6" w14:textId="75CDDE32" w:rsidR="000F78F1" w:rsidRPr="0013228A" w:rsidRDefault="000F78F1" w:rsidP="000F78F1">
      <w:pPr>
        <w:spacing w:after="0"/>
        <w:rPr>
          <w:rFonts w:cs="Arial"/>
        </w:rPr>
      </w:pPr>
      <w:r w:rsidRPr="0013228A">
        <w:rPr>
          <w:rFonts w:cs="Arial"/>
          <w:b/>
          <w:bCs/>
          <w:u w:val="single"/>
        </w:rPr>
        <w:t>Communications Service – Forecast underspend £0.2</w:t>
      </w:r>
      <w:r w:rsidR="0013228A" w:rsidRPr="0013228A">
        <w:rPr>
          <w:rFonts w:cs="Arial"/>
          <w:b/>
          <w:bCs/>
          <w:u w:val="single"/>
        </w:rPr>
        <w:t>24</w:t>
      </w:r>
      <w:r w:rsidRPr="0013228A">
        <w:rPr>
          <w:rFonts w:cs="Arial"/>
          <w:b/>
          <w:bCs/>
          <w:u w:val="single"/>
        </w:rPr>
        <w:t>m</w:t>
      </w:r>
    </w:p>
    <w:p w14:paraId="427B3345" w14:textId="77777777" w:rsidR="000F78F1" w:rsidRPr="0013228A" w:rsidRDefault="000F78F1" w:rsidP="000F78F1">
      <w:pPr>
        <w:spacing w:after="0"/>
        <w:textAlignment w:val="baseline"/>
        <w:rPr>
          <w:rFonts w:eastAsia="Times New Roman" w:cs="Arial"/>
          <w:lang w:eastAsia="en-GB"/>
        </w:rPr>
      </w:pPr>
      <w:r w:rsidRPr="0013228A">
        <w:rPr>
          <w:rFonts w:eastAsia="Times New Roman" w:cs="Arial"/>
          <w:lang w:eastAsia="en-GB"/>
        </w:rPr>
        <w:t xml:space="preserve">The forecast underspend largely relates to staff costs. </w:t>
      </w:r>
    </w:p>
    <w:bookmarkEnd w:id="15"/>
    <w:p w14:paraId="0B6ABF07" w14:textId="77777777" w:rsidR="000F78F1" w:rsidRPr="0013228A" w:rsidRDefault="000F78F1" w:rsidP="000F78F1">
      <w:pPr>
        <w:spacing w:after="0"/>
        <w:rPr>
          <w:rFonts w:cs="Arial"/>
        </w:rPr>
      </w:pPr>
    </w:p>
    <w:p w14:paraId="192F24AB" w14:textId="77777777" w:rsidR="000F78F1" w:rsidRPr="000F78F1" w:rsidRDefault="000F78F1" w:rsidP="000F78F1">
      <w:pPr>
        <w:spacing w:after="0"/>
        <w:rPr>
          <w:rFonts w:cs="Arial"/>
          <w:highlight w:val="yellow"/>
        </w:rPr>
      </w:pPr>
    </w:p>
    <w:p w14:paraId="409E85A5" w14:textId="77777777" w:rsidR="000F78F1" w:rsidRPr="000F78F1" w:rsidRDefault="000F78F1" w:rsidP="000F78F1">
      <w:pPr>
        <w:spacing w:after="0"/>
        <w:rPr>
          <w:rFonts w:cs="Arial"/>
          <w:highlight w:val="yellow"/>
        </w:rPr>
      </w:pPr>
    </w:p>
    <w:p w14:paraId="1C79D666" w14:textId="77777777" w:rsidR="000F78F1" w:rsidRPr="000F78F1" w:rsidRDefault="000F78F1" w:rsidP="000F78F1">
      <w:pPr>
        <w:spacing w:after="0"/>
        <w:rPr>
          <w:rFonts w:cs="Arial"/>
          <w:highlight w:val="yellow"/>
        </w:rPr>
      </w:pPr>
    </w:p>
    <w:p w14:paraId="0922B72A" w14:textId="77777777" w:rsidR="000F78F1" w:rsidRPr="000F78F1" w:rsidRDefault="000F78F1" w:rsidP="000F78F1">
      <w:pPr>
        <w:spacing w:after="0"/>
        <w:rPr>
          <w:rFonts w:cs="Arial"/>
          <w:highlight w:val="yellow"/>
        </w:rPr>
      </w:pPr>
    </w:p>
    <w:p w14:paraId="13D96AE7" w14:textId="77777777" w:rsidR="000F78F1" w:rsidRPr="000F78F1" w:rsidRDefault="000F78F1" w:rsidP="000F78F1">
      <w:pPr>
        <w:spacing w:after="0"/>
        <w:rPr>
          <w:rFonts w:cs="Arial"/>
          <w:highlight w:val="yellow"/>
        </w:rPr>
      </w:pPr>
    </w:p>
    <w:p w14:paraId="16E6CC94" w14:textId="77777777" w:rsidR="000F78F1" w:rsidRPr="000F78F1" w:rsidRDefault="000F78F1" w:rsidP="000F78F1">
      <w:pPr>
        <w:spacing w:after="0"/>
        <w:rPr>
          <w:rFonts w:cs="Arial"/>
          <w:highlight w:val="yellow"/>
        </w:rPr>
      </w:pPr>
    </w:p>
    <w:p w14:paraId="2F430722" w14:textId="77777777" w:rsidR="000F78F1" w:rsidRPr="000F78F1" w:rsidRDefault="000F78F1" w:rsidP="000F78F1">
      <w:pPr>
        <w:spacing w:after="0"/>
        <w:rPr>
          <w:rFonts w:cs="Arial"/>
          <w:highlight w:val="yellow"/>
        </w:rPr>
      </w:pPr>
    </w:p>
    <w:p w14:paraId="39757420" w14:textId="77777777" w:rsidR="000F78F1" w:rsidRPr="000F78F1" w:rsidRDefault="000F78F1" w:rsidP="000F78F1">
      <w:pPr>
        <w:spacing w:after="0"/>
        <w:rPr>
          <w:rFonts w:cs="Arial"/>
          <w:highlight w:val="yellow"/>
        </w:rPr>
      </w:pPr>
    </w:p>
    <w:p w14:paraId="69F4C21E" w14:textId="77777777" w:rsidR="000F78F1" w:rsidRPr="000F78F1" w:rsidRDefault="000F78F1" w:rsidP="000F78F1">
      <w:pPr>
        <w:spacing w:after="0"/>
        <w:rPr>
          <w:rFonts w:cs="Arial"/>
          <w:highlight w:val="yellow"/>
        </w:rPr>
      </w:pPr>
    </w:p>
    <w:p w14:paraId="6E8F0231" w14:textId="77777777" w:rsidR="00940D73" w:rsidRDefault="00940D73" w:rsidP="000F78F1">
      <w:pPr>
        <w:spacing w:after="0"/>
        <w:rPr>
          <w:rFonts w:cs="Arial"/>
          <w:highlight w:val="yellow"/>
        </w:rPr>
      </w:pPr>
    </w:p>
    <w:p w14:paraId="2A989C1C" w14:textId="77777777" w:rsidR="002F37C7" w:rsidRDefault="002F37C7" w:rsidP="000F78F1">
      <w:pPr>
        <w:spacing w:after="0"/>
        <w:rPr>
          <w:rFonts w:cs="Arial"/>
          <w:highlight w:val="yellow"/>
        </w:rPr>
      </w:pPr>
    </w:p>
    <w:p w14:paraId="4382A470" w14:textId="77777777" w:rsidR="006B08CB" w:rsidRDefault="006B08CB" w:rsidP="000F78F1">
      <w:pPr>
        <w:spacing w:after="0"/>
        <w:rPr>
          <w:rFonts w:cs="Arial"/>
          <w:highlight w:val="yellow"/>
        </w:rPr>
      </w:pPr>
    </w:p>
    <w:p w14:paraId="38893905" w14:textId="77777777" w:rsidR="00161220" w:rsidRDefault="00161220" w:rsidP="000F78F1">
      <w:pPr>
        <w:spacing w:after="0"/>
        <w:rPr>
          <w:rFonts w:cs="Arial"/>
          <w:highlight w:val="yellow"/>
        </w:rPr>
      </w:pPr>
    </w:p>
    <w:p w14:paraId="2A2FBC47" w14:textId="77777777" w:rsidR="00161220" w:rsidRPr="000F78F1" w:rsidRDefault="00161220" w:rsidP="000F78F1">
      <w:pPr>
        <w:spacing w:after="0"/>
        <w:rPr>
          <w:rFonts w:cs="Arial"/>
          <w:highlight w:val="yellow"/>
        </w:rPr>
      </w:pPr>
    </w:p>
    <w:p w14:paraId="55789818" w14:textId="77777777" w:rsidR="000F78F1" w:rsidRPr="000F78F1" w:rsidRDefault="000F78F1" w:rsidP="000F78F1">
      <w:pPr>
        <w:numPr>
          <w:ilvl w:val="0"/>
          <w:numId w:val="5"/>
        </w:numPr>
        <w:autoSpaceDE/>
        <w:autoSpaceDN/>
        <w:adjustRightInd/>
        <w:spacing w:after="0" w:line="259" w:lineRule="auto"/>
        <w:contextualSpacing/>
        <w:rPr>
          <w:rFonts w:cs="Arial"/>
          <w:b/>
          <w:u w:val="single"/>
        </w:rPr>
      </w:pPr>
      <w:r w:rsidRPr="000F78F1">
        <w:rPr>
          <w:rFonts w:cs="Arial"/>
          <w:b/>
          <w:u w:val="single"/>
        </w:rPr>
        <w:lastRenderedPageBreak/>
        <w:t>Chief Executive Services</w:t>
      </w:r>
    </w:p>
    <w:p w14:paraId="0E6FBCD8" w14:textId="77777777" w:rsidR="000F78F1" w:rsidRPr="000F78F1" w:rsidRDefault="000F78F1" w:rsidP="000F78F1">
      <w:pPr>
        <w:spacing w:after="0"/>
        <w:textAlignment w:val="baseline"/>
        <w:rPr>
          <w:rFonts w:ascii="Segoe UI" w:eastAsia="Times New Roman" w:hAnsi="Segoe UI" w:cs="Segoe UI"/>
          <w:sz w:val="18"/>
          <w:szCs w:val="18"/>
          <w:lang w:eastAsia="en-GB"/>
        </w:rPr>
      </w:pPr>
    </w:p>
    <w:tbl>
      <w:tblPr>
        <w:tblW w:w="9088" w:type="dxa"/>
        <w:tblLook w:val="04A0" w:firstRow="1" w:lastRow="0" w:firstColumn="1" w:lastColumn="0" w:noHBand="0" w:noVBand="1"/>
      </w:tblPr>
      <w:tblGrid>
        <w:gridCol w:w="3888"/>
        <w:gridCol w:w="905"/>
        <w:gridCol w:w="1050"/>
        <w:gridCol w:w="1050"/>
        <w:gridCol w:w="1050"/>
        <w:gridCol w:w="1145"/>
      </w:tblGrid>
      <w:tr w:rsidR="006B08CB" w:rsidRPr="006B08CB" w14:paraId="20E7059A" w14:textId="77777777" w:rsidTr="006B08CB">
        <w:trPr>
          <w:trHeight w:val="821"/>
        </w:trPr>
        <w:tc>
          <w:tcPr>
            <w:tcW w:w="42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C0B9D9"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Service Area</w:t>
            </w:r>
          </w:p>
        </w:tc>
        <w:tc>
          <w:tcPr>
            <w:tcW w:w="852" w:type="dxa"/>
            <w:tcBorders>
              <w:top w:val="single" w:sz="4" w:space="0" w:color="auto"/>
              <w:left w:val="nil"/>
              <w:bottom w:val="single" w:sz="4" w:space="0" w:color="auto"/>
              <w:right w:val="single" w:sz="4" w:space="0" w:color="auto"/>
            </w:tcBorders>
            <w:shd w:val="clear" w:color="000000" w:fill="D9D9D9"/>
            <w:vAlign w:val="center"/>
            <w:hideMark/>
          </w:tcPr>
          <w:p w14:paraId="09A6B41E"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 xml:space="preserve">Net Budget </w:t>
            </w:r>
          </w:p>
        </w:tc>
        <w:tc>
          <w:tcPr>
            <w:tcW w:w="959" w:type="dxa"/>
            <w:tcBorders>
              <w:top w:val="single" w:sz="4" w:space="0" w:color="auto"/>
              <w:left w:val="nil"/>
              <w:bottom w:val="single" w:sz="4" w:space="0" w:color="auto"/>
              <w:right w:val="single" w:sz="4" w:space="0" w:color="auto"/>
            </w:tcBorders>
            <w:shd w:val="clear" w:color="000000" w:fill="D9D9D9"/>
            <w:vAlign w:val="center"/>
            <w:hideMark/>
          </w:tcPr>
          <w:p w14:paraId="5B58A728"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 xml:space="preserve">Net Forecast Outturn </w:t>
            </w:r>
          </w:p>
        </w:tc>
        <w:tc>
          <w:tcPr>
            <w:tcW w:w="989" w:type="dxa"/>
            <w:tcBorders>
              <w:top w:val="single" w:sz="4" w:space="0" w:color="auto"/>
              <w:left w:val="nil"/>
              <w:bottom w:val="single" w:sz="4" w:space="0" w:color="auto"/>
              <w:right w:val="single" w:sz="4" w:space="0" w:color="auto"/>
            </w:tcBorders>
            <w:shd w:val="clear" w:color="000000" w:fill="D9D9D9"/>
            <w:vAlign w:val="center"/>
            <w:hideMark/>
          </w:tcPr>
          <w:p w14:paraId="73119593"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Net Forecast Variance</w:t>
            </w:r>
          </w:p>
        </w:tc>
        <w:tc>
          <w:tcPr>
            <w:tcW w:w="883" w:type="dxa"/>
            <w:tcBorders>
              <w:top w:val="single" w:sz="4" w:space="0" w:color="auto"/>
              <w:left w:val="nil"/>
              <w:bottom w:val="single" w:sz="4" w:space="0" w:color="auto"/>
              <w:right w:val="single" w:sz="4" w:space="0" w:color="auto"/>
            </w:tcBorders>
            <w:shd w:val="clear" w:color="000000" w:fill="D9D9D9"/>
            <w:vAlign w:val="center"/>
            <w:hideMark/>
          </w:tcPr>
          <w:p w14:paraId="04A425C3"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Net Forecast Variance</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14:paraId="284958F9"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Q2 Variance</w:t>
            </w:r>
          </w:p>
        </w:tc>
      </w:tr>
      <w:tr w:rsidR="006B08CB" w:rsidRPr="006B08CB" w14:paraId="6607BC17" w14:textId="77777777" w:rsidTr="006B08CB">
        <w:trPr>
          <w:trHeight w:val="322"/>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59CEA0D0"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 </w:t>
            </w:r>
          </w:p>
        </w:tc>
        <w:tc>
          <w:tcPr>
            <w:tcW w:w="852" w:type="dxa"/>
            <w:tcBorders>
              <w:top w:val="nil"/>
              <w:left w:val="nil"/>
              <w:bottom w:val="nil"/>
              <w:right w:val="single" w:sz="4" w:space="0" w:color="auto"/>
            </w:tcBorders>
            <w:shd w:val="clear" w:color="000000" w:fill="D9D9D9"/>
            <w:vAlign w:val="center"/>
            <w:hideMark/>
          </w:tcPr>
          <w:p w14:paraId="66FC2A6B"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£m</w:t>
            </w:r>
          </w:p>
        </w:tc>
        <w:tc>
          <w:tcPr>
            <w:tcW w:w="959" w:type="dxa"/>
            <w:tcBorders>
              <w:top w:val="nil"/>
              <w:left w:val="nil"/>
              <w:bottom w:val="nil"/>
              <w:right w:val="single" w:sz="4" w:space="0" w:color="auto"/>
            </w:tcBorders>
            <w:shd w:val="clear" w:color="000000" w:fill="D9D9D9"/>
            <w:vAlign w:val="center"/>
            <w:hideMark/>
          </w:tcPr>
          <w:p w14:paraId="72F4496C"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£m</w:t>
            </w:r>
          </w:p>
        </w:tc>
        <w:tc>
          <w:tcPr>
            <w:tcW w:w="989" w:type="dxa"/>
            <w:tcBorders>
              <w:top w:val="nil"/>
              <w:left w:val="nil"/>
              <w:bottom w:val="nil"/>
              <w:right w:val="single" w:sz="4" w:space="0" w:color="auto"/>
            </w:tcBorders>
            <w:shd w:val="clear" w:color="000000" w:fill="D9D9D9"/>
            <w:vAlign w:val="center"/>
            <w:hideMark/>
          </w:tcPr>
          <w:p w14:paraId="20B1AC6C"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£m</w:t>
            </w:r>
          </w:p>
        </w:tc>
        <w:tc>
          <w:tcPr>
            <w:tcW w:w="883" w:type="dxa"/>
            <w:tcBorders>
              <w:top w:val="nil"/>
              <w:left w:val="nil"/>
              <w:bottom w:val="nil"/>
              <w:right w:val="single" w:sz="4" w:space="0" w:color="auto"/>
            </w:tcBorders>
            <w:shd w:val="clear" w:color="000000" w:fill="D9D9D9"/>
            <w:vAlign w:val="center"/>
            <w:hideMark/>
          </w:tcPr>
          <w:p w14:paraId="5B306C32" w14:textId="77777777" w:rsidR="006B08CB" w:rsidRPr="006B08CB" w:rsidRDefault="006B08CB" w:rsidP="006B08CB">
            <w:pPr>
              <w:autoSpaceDE/>
              <w:autoSpaceDN/>
              <w:adjustRightInd/>
              <w:spacing w:after="0"/>
              <w:jc w:val="center"/>
              <w:rPr>
                <w:rFonts w:eastAsia="Times New Roman" w:cs="Arial"/>
                <w:b/>
                <w:bCs/>
                <w:sz w:val="20"/>
                <w:szCs w:val="20"/>
                <w:lang w:eastAsia="en-GB"/>
              </w:rPr>
            </w:pPr>
            <w:r w:rsidRPr="006B08CB">
              <w:rPr>
                <w:rFonts w:eastAsia="Times New Roman" w:cs="Arial"/>
                <w:b/>
                <w:bCs/>
                <w:sz w:val="20"/>
                <w:szCs w:val="20"/>
                <w:lang w:eastAsia="en-GB"/>
              </w:rPr>
              <w:t>%</w:t>
            </w:r>
          </w:p>
        </w:tc>
        <w:tc>
          <w:tcPr>
            <w:tcW w:w="1157" w:type="dxa"/>
            <w:tcBorders>
              <w:top w:val="nil"/>
              <w:left w:val="nil"/>
              <w:bottom w:val="nil"/>
              <w:right w:val="single" w:sz="4" w:space="0" w:color="auto"/>
            </w:tcBorders>
            <w:shd w:val="clear" w:color="000000" w:fill="D9D9D9"/>
            <w:vAlign w:val="center"/>
            <w:hideMark/>
          </w:tcPr>
          <w:p w14:paraId="6BB3A682" w14:textId="77777777" w:rsidR="006B08CB" w:rsidRPr="006B08CB" w:rsidRDefault="006B08CB" w:rsidP="006B08CB">
            <w:pPr>
              <w:autoSpaceDE/>
              <w:autoSpaceDN/>
              <w:adjustRightInd/>
              <w:spacing w:after="0"/>
              <w:jc w:val="center"/>
              <w:rPr>
                <w:rFonts w:eastAsia="Times New Roman" w:cs="Arial"/>
                <w:b/>
                <w:bCs/>
                <w:color w:val="auto"/>
                <w:sz w:val="20"/>
                <w:szCs w:val="20"/>
                <w:lang w:eastAsia="en-GB"/>
              </w:rPr>
            </w:pPr>
            <w:r w:rsidRPr="006B08CB">
              <w:rPr>
                <w:rFonts w:eastAsia="Times New Roman" w:cs="Arial"/>
                <w:b/>
                <w:bCs/>
                <w:color w:val="auto"/>
                <w:sz w:val="20"/>
                <w:szCs w:val="20"/>
                <w:lang w:eastAsia="en-GB"/>
              </w:rPr>
              <w:t>£m</w:t>
            </w:r>
          </w:p>
        </w:tc>
      </w:tr>
      <w:tr w:rsidR="006B08CB" w:rsidRPr="006B08CB" w14:paraId="42377979" w14:textId="77777777" w:rsidTr="006B08CB">
        <w:trPr>
          <w:trHeight w:val="322"/>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51C7A9BA" w14:textId="77777777" w:rsidR="006B08CB" w:rsidRPr="006B08CB" w:rsidRDefault="006B08CB" w:rsidP="006B08CB">
            <w:pPr>
              <w:autoSpaceDE/>
              <w:autoSpaceDN/>
              <w:adjustRightInd/>
              <w:spacing w:after="0"/>
              <w:jc w:val="left"/>
              <w:rPr>
                <w:rFonts w:eastAsia="Times New Roman" w:cs="Arial"/>
                <w:sz w:val="20"/>
                <w:szCs w:val="20"/>
                <w:lang w:eastAsia="en-GB"/>
              </w:rPr>
            </w:pPr>
            <w:r w:rsidRPr="006B08CB">
              <w:rPr>
                <w:rFonts w:eastAsia="Times New Roman" w:cs="Arial"/>
                <w:sz w:val="20"/>
                <w:szCs w:val="20"/>
                <w:lang w:eastAsia="en-GB"/>
              </w:rPr>
              <w:t>Chief Executive</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3C72992" w14:textId="77777777" w:rsidR="006B08CB" w:rsidRPr="006B08CB" w:rsidRDefault="006B08CB" w:rsidP="006B08CB">
            <w:pPr>
              <w:autoSpaceDE/>
              <w:autoSpaceDN/>
              <w:adjustRightInd/>
              <w:spacing w:after="0"/>
              <w:jc w:val="right"/>
              <w:rPr>
                <w:rFonts w:eastAsia="Times New Roman" w:cs="Arial"/>
                <w:sz w:val="20"/>
                <w:szCs w:val="20"/>
                <w:lang w:eastAsia="en-GB"/>
              </w:rPr>
            </w:pPr>
            <w:r w:rsidRPr="006B08CB">
              <w:rPr>
                <w:rFonts w:eastAsia="Times New Roman" w:cs="Arial"/>
                <w:sz w:val="20"/>
                <w:szCs w:val="20"/>
                <w:lang w:eastAsia="en-GB"/>
              </w:rPr>
              <w:t>2.303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A92C08C" w14:textId="77777777" w:rsidR="006B08CB" w:rsidRPr="006B08CB" w:rsidRDefault="006B08CB" w:rsidP="006B08CB">
            <w:pPr>
              <w:autoSpaceDE/>
              <w:autoSpaceDN/>
              <w:adjustRightInd/>
              <w:spacing w:after="0"/>
              <w:jc w:val="right"/>
              <w:rPr>
                <w:rFonts w:eastAsia="Times New Roman" w:cs="Arial"/>
                <w:sz w:val="20"/>
                <w:szCs w:val="20"/>
                <w:lang w:eastAsia="en-GB"/>
              </w:rPr>
            </w:pPr>
            <w:r w:rsidRPr="006B08CB">
              <w:rPr>
                <w:rFonts w:eastAsia="Times New Roman" w:cs="Arial"/>
                <w:sz w:val="20"/>
                <w:szCs w:val="20"/>
                <w:lang w:eastAsia="en-GB"/>
              </w:rPr>
              <w:t>1.247</w:t>
            </w:r>
          </w:p>
        </w:tc>
        <w:tc>
          <w:tcPr>
            <w:tcW w:w="989" w:type="dxa"/>
            <w:tcBorders>
              <w:top w:val="single" w:sz="4" w:space="0" w:color="auto"/>
              <w:left w:val="nil"/>
              <w:bottom w:val="single" w:sz="4" w:space="0" w:color="auto"/>
              <w:right w:val="single" w:sz="4" w:space="0" w:color="auto"/>
            </w:tcBorders>
            <w:shd w:val="clear" w:color="000000" w:fill="D9D9D9"/>
            <w:vAlign w:val="center"/>
            <w:hideMark/>
          </w:tcPr>
          <w:p w14:paraId="2AF1941A" w14:textId="77777777" w:rsidR="006B08CB" w:rsidRPr="006B08CB" w:rsidRDefault="006B08CB" w:rsidP="006B08CB">
            <w:pPr>
              <w:autoSpaceDE/>
              <w:autoSpaceDN/>
              <w:adjustRightInd/>
              <w:spacing w:after="0"/>
              <w:jc w:val="right"/>
              <w:rPr>
                <w:rFonts w:eastAsia="Times New Roman" w:cs="Arial"/>
                <w:sz w:val="20"/>
                <w:szCs w:val="20"/>
                <w:lang w:eastAsia="en-GB"/>
              </w:rPr>
            </w:pPr>
            <w:r w:rsidRPr="006B08CB">
              <w:rPr>
                <w:rFonts w:eastAsia="Times New Roman" w:cs="Arial"/>
                <w:sz w:val="20"/>
                <w:szCs w:val="20"/>
                <w:lang w:eastAsia="en-GB"/>
              </w:rPr>
              <w:t>-1.056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0CB69BD" w14:textId="77777777" w:rsidR="006B08CB" w:rsidRPr="006B08CB" w:rsidRDefault="006B08CB" w:rsidP="006B08CB">
            <w:pPr>
              <w:autoSpaceDE/>
              <w:autoSpaceDN/>
              <w:adjustRightInd/>
              <w:spacing w:after="0"/>
              <w:jc w:val="right"/>
              <w:rPr>
                <w:rFonts w:eastAsia="Times New Roman" w:cs="Arial"/>
                <w:sz w:val="20"/>
                <w:szCs w:val="20"/>
                <w:lang w:eastAsia="en-GB"/>
              </w:rPr>
            </w:pPr>
            <w:r w:rsidRPr="006B08CB">
              <w:rPr>
                <w:rFonts w:eastAsia="Times New Roman" w:cs="Arial"/>
                <w:sz w:val="20"/>
                <w:szCs w:val="20"/>
                <w:lang w:eastAsia="en-GB"/>
              </w:rPr>
              <w:t>-45.85%</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14:paraId="66A4254A" w14:textId="77777777" w:rsidR="006B08CB" w:rsidRPr="006B08CB" w:rsidRDefault="006B08CB" w:rsidP="006B08CB">
            <w:pPr>
              <w:autoSpaceDE/>
              <w:autoSpaceDN/>
              <w:adjustRightInd/>
              <w:spacing w:after="0"/>
              <w:jc w:val="right"/>
              <w:rPr>
                <w:rFonts w:eastAsia="Times New Roman" w:cs="Arial"/>
                <w:color w:val="auto"/>
                <w:sz w:val="20"/>
                <w:szCs w:val="20"/>
                <w:lang w:eastAsia="en-GB"/>
              </w:rPr>
            </w:pPr>
            <w:r w:rsidRPr="006B08CB">
              <w:rPr>
                <w:rFonts w:eastAsia="Times New Roman" w:cs="Arial"/>
                <w:color w:val="auto"/>
                <w:sz w:val="20"/>
                <w:szCs w:val="20"/>
                <w:lang w:eastAsia="en-GB"/>
              </w:rPr>
              <w:t>-0.934</w:t>
            </w:r>
          </w:p>
        </w:tc>
      </w:tr>
      <w:tr w:rsidR="006B08CB" w:rsidRPr="006B08CB" w14:paraId="4F8C6934" w14:textId="77777777" w:rsidTr="006B08CB">
        <w:trPr>
          <w:trHeight w:val="322"/>
        </w:trPr>
        <w:tc>
          <w:tcPr>
            <w:tcW w:w="4248" w:type="dxa"/>
            <w:tcBorders>
              <w:top w:val="nil"/>
              <w:left w:val="single" w:sz="8" w:space="0" w:color="auto"/>
              <w:bottom w:val="single" w:sz="4" w:space="0" w:color="auto"/>
              <w:right w:val="single" w:sz="4" w:space="0" w:color="auto"/>
            </w:tcBorders>
            <w:shd w:val="clear" w:color="000000" w:fill="D9D9D9"/>
            <w:vAlign w:val="center"/>
            <w:hideMark/>
          </w:tcPr>
          <w:p w14:paraId="653BFEE1" w14:textId="77777777" w:rsidR="006B08CB" w:rsidRPr="006B08CB" w:rsidRDefault="006B08CB" w:rsidP="006B08CB">
            <w:pPr>
              <w:autoSpaceDE/>
              <w:autoSpaceDN/>
              <w:adjustRightInd/>
              <w:spacing w:after="0"/>
              <w:jc w:val="left"/>
              <w:rPr>
                <w:rFonts w:eastAsia="Times New Roman" w:cs="Arial"/>
                <w:sz w:val="20"/>
                <w:szCs w:val="20"/>
                <w:lang w:eastAsia="en-GB"/>
              </w:rPr>
            </w:pPr>
            <w:r w:rsidRPr="006B08CB">
              <w:rPr>
                <w:rFonts w:eastAsia="Times New Roman" w:cs="Arial"/>
                <w:sz w:val="20"/>
                <w:szCs w:val="20"/>
                <w:lang w:eastAsia="en-GB"/>
              </w:rPr>
              <w:t>Corporate Budgets (Funding and Grants)</w:t>
            </w:r>
          </w:p>
        </w:tc>
        <w:tc>
          <w:tcPr>
            <w:tcW w:w="852" w:type="dxa"/>
            <w:tcBorders>
              <w:top w:val="nil"/>
              <w:left w:val="nil"/>
              <w:bottom w:val="single" w:sz="4" w:space="0" w:color="auto"/>
              <w:right w:val="single" w:sz="4" w:space="0" w:color="auto"/>
            </w:tcBorders>
            <w:shd w:val="clear" w:color="auto" w:fill="auto"/>
            <w:vAlign w:val="center"/>
            <w:hideMark/>
          </w:tcPr>
          <w:p w14:paraId="49ADFB78" w14:textId="77777777" w:rsidR="006B08CB" w:rsidRPr="006B08CB" w:rsidRDefault="006B08CB" w:rsidP="006B08CB">
            <w:pPr>
              <w:autoSpaceDE/>
              <w:autoSpaceDN/>
              <w:adjustRightInd/>
              <w:spacing w:after="0"/>
              <w:jc w:val="right"/>
              <w:rPr>
                <w:rFonts w:eastAsia="Times New Roman" w:cs="Arial"/>
                <w:sz w:val="20"/>
                <w:szCs w:val="20"/>
                <w:lang w:eastAsia="en-GB"/>
              </w:rPr>
            </w:pPr>
            <w:r w:rsidRPr="006B08CB">
              <w:rPr>
                <w:rFonts w:eastAsia="Times New Roman" w:cs="Arial"/>
                <w:sz w:val="20"/>
                <w:szCs w:val="20"/>
                <w:lang w:eastAsia="en-GB"/>
              </w:rPr>
              <w:t>-18.447</w:t>
            </w:r>
          </w:p>
        </w:tc>
        <w:tc>
          <w:tcPr>
            <w:tcW w:w="959" w:type="dxa"/>
            <w:tcBorders>
              <w:top w:val="nil"/>
              <w:left w:val="nil"/>
              <w:bottom w:val="single" w:sz="4" w:space="0" w:color="auto"/>
              <w:right w:val="single" w:sz="4" w:space="0" w:color="auto"/>
            </w:tcBorders>
            <w:shd w:val="clear" w:color="auto" w:fill="auto"/>
            <w:vAlign w:val="center"/>
            <w:hideMark/>
          </w:tcPr>
          <w:p w14:paraId="3294FC7E" w14:textId="77777777" w:rsidR="006B08CB" w:rsidRPr="006B08CB" w:rsidRDefault="006B08CB" w:rsidP="006B08CB">
            <w:pPr>
              <w:autoSpaceDE/>
              <w:autoSpaceDN/>
              <w:adjustRightInd/>
              <w:spacing w:after="0"/>
              <w:jc w:val="right"/>
              <w:rPr>
                <w:rFonts w:eastAsia="Times New Roman" w:cs="Arial"/>
                <w:sz w:val="20"/>
                <w:szCs w:val="20"/>
                <w:lang w:eastAsia="en-GB"/>
              </w:rPr>
            </w:pPr>
            <w:r w:rsidRPr="006B08CB">
              <w:rPr>
                <w:rFonts w:eastAsia="Times New Roman" w:cs="Arial"/>
                <w:sz w:val="20"/>
                <w:szCs w:val="20"/>
                <w:lang w:eastAsia="en-GB"/>
              </w:rPr>
              <w:t>-18.447</w:t>
            </w:r>
          </w:p>
        </w:tc>
        <w:tc>
          <w:tcPr>
            <w:tcW w:w="989" w:type="dxa"/>
            <w:tcBorders>
              <w:top w:val="nil"/>
              <w:left w:val="nil"/>
              <w:bottom w:val="single" w:sz="4" w:space="0" w:color="auto"/>
              <w:right w:val="single" w:sz="4" w:space="0" w:color="auto"/>
            </w:tcBorders>
            <w:shd w:val="clear" w:color="000000" w:fill="D9D9D9"/>
            <w:vAlign w:val="center"/>
            <w:hideMark/>
          </w:tcPr>
          <w:p w14:paraId="18A735B5" w14:textId="77777777" w:rsidR="006B08CB" w:rsidRPr="006B08CB" w:rsidRDefault="006B08CB" w:rsidP="006B08CB">
            <w:pPr>
              <w:autoSpaceDE/>
              <w:autoSpaceDN/>
              <w:adjustRightInd/>
              <w:spacing w:after="0"/>
              <w:jc w:val="right"/>
              <w:rPr>
                <w:rFonts w:eastAsia="Times New Roman" w:cs="Arial"/>
                <w:sz w:val="20"/>
                <w:szCs w:val="20"/>
                <w:lang w:eastAsia="en-GB"/>
              </w:rPr>
            </w:pPr>
            <w:r w:rsidRPr="006B08CB">
              <w:rPr>
                <w:rFonts w:eastAsia="Times New Roman" w:cs="Arial"/>
                <w:sz w:val="20"/>
                <w:szCs w:val="20"/>
                <w:lang w:eastAsia="en-GB"/>
              </w:rPr>
              <w:t>0.000</w:t>
            </w:r>
          </w:p>
        </w:tc>
        <w:tc>
          <w:tcPr>
            <w:tcW w:w="883" w:type="dxa"/>
            <w:tcBorders>
              <w:top w:val="nil"/>
              <w:left w:val="nil"/>
              <w:bottom w:val="single" w:sz="4" w:space="0" w:color="auto"/>
              <w:right w:val="single" w:sz="4" w:space="0" w:color="auto"/>
            </w:tcBorders>
            <w:shd w:val="clear" w:color="auto" w:fill="auto"/>
            <w:vAlign w:val="center"/>
            <w:hideMark/>
          </w:tcPr>
          <w:p w14:paraId="61C4229D" w14:textId="77777777" w:rsidR="006B08CB" w:rsidRPr="006B08CB" w:rsidRDefault="006B08CB" w:rsidP="006B08CB">
            <w:pPr>
              <w:autoSpaceDE/>
              <w:autoSpaceDN/>
              <w:adjustRightInd/>
              <w:spacing w:after="0"/>
              <w:jc w:val="right"/>
              <w:rPr>
                <w:rFonts w:eastAsia="Times New Roman" w:cs="Arial"/>
                <w:sz w:val="20"/>
                <w:szCs w:val="20"/>
                <w:lang w:eastAsia="en-GB"/>
              </w:rPr>
            </w:pPr>
            <w:r w:rsidRPr="006B08CB">
              <w:rPr>
                <w:rFonts w:eastAsia="Times New Roman" w:cs="Arial"/>
                <w:sz w:val="20"/>
                <w:szCs w:val="20"/>
                <w:lang w:eastAsia="en-GB"/>
              </w:rPr>
              <w:t>0.00%</w:t>
            </w:r>
          </w:p>
        </w:tc>
        <w:tc>
          <w:tcPr>
            <w:tcW w:w="1157" w:type="dxa"/>
            <w:tcBorders>
              <w:top w:val="nil"/>
              <w:left w:val="nil"/>
              <w:bottom w:val="single" w:sz="4" w:space="0" w:color="auto"/>
              <w:right w:val="single" w:sz="4" w:space="0" w:color="auto"/>
            </w:tcBorders>
            <w:shd w:val="clear" w:color="000000" w:fill="D9D9D9"/>
            <w:vAlign w:val="center"/>
            <w:hideMark/>
          </w:tcPr>
          <w:p w14:paraId="3C70D447" w14:textId="77777777" w:rsidR="006B08CB" w:rsidRPr="006B08CB" w:rsidRDefault="006B08CB" w:rsidP="006B08CB">
            <w:pPr>
              <w:autoSpaceDE/>
              <w:autoSpaceDN/>
              <w:adjustRightInd/>
              <w:spacing w:after="0"/>
              <w:jc w:val="right"/>
              <w:rPr>
                <w:rFonts w:eastAsia="Times New Roman" w:cs="Arial"/>
                <w:color w:val="auto"/>
                <w:sz w:val="20"/>
                <w:szCs w:val="20"/>
                <w:lang w:eastAsia="en-GB"/>
              </w:rPr>
            </w:pPr>
            <w:r w:rsidRPr="006B08CB">
              <w:rPr>
                <w:rFonts w:eastAsia="Times New Roman" w:cs="Arial"/>
                <w:color w:val="auto"/>
                <w:sz w:val="20"/>
                <w:szCs w:val="20"/>
                <w:lang w:eastAsia="en-GB"/>
              </w:rPr>
              <w:t>0.000</w:t>
            </w:r>
          </w:p>
        </w:tc>
      </w:tr>
      <w:tr w:rsidR="006B08CB" w:rsidRPr="006B08CB" w14:paraId="701A392B" w14:textId="77777777" w:rsidTr="006B08CB">
        <w:trPr>
          <w:trHeight w:val="338"/>
        </w:trPr>
        <w:tc>
          <w:tcPr>
            <w:tcW w:w="4248" w:type="dxa"/>
            <w:tcBorders>
              <w:top w:val="nil"/>
              <w:left w:val="single" w:sz="8" w:space="0" w:color="auto"/>
              <w:bottom w:val="single" w:sz="8" w:space="0" w:color="auto"/>
              <w:right w:val="single" w:sz="4" w:space="0" w:color="auto"/>
            </w:tcBorders>
            <w:shd w:val="clear" w:color="000000" w:fill="D9D9D9"/>
            <w:vAlign w:val="center"/>
            <w:hideMark/>
          </w:tcPr>
          <w:p w14:paraId="58ACDFAF" w14:textId="77777777" w:rsidR="006B08CB" w:rsidRPr="006B08CB" w:rsidRDefault="006B08CB" w:rsidP="006B08CB">
            <w:pPr>
              <w:autoSpaceDE/>
              <w:autoSpaceDN/>
              <w:adjustRightInd/>
              <w:spacing w:after="0"/>
              <w:jc w:val="left"/>
              <w:rPr>
                <w:rFonts w:eastAsia="Times New Roman" w:cs="Arial"/>
                <w:b/>
                <w:bCs/>
                <w:sz w:val="20"/>
                <w:szCs w:val="20"/>
                <w:lang w:eastAsia="en-GB"/>
              </w:rPr>
            </w:pPr>
            <w:r w:rsidRPr="006B08CB">
              <w:rPr>
                <w:rFonts w:eastAsia="Times New Roman" w:cs="Arial"/>
                <w:b/>
                <w:bCs/>
                <w:sz w:val="20"/>
                <w:szCs w:val="20"/>
                <w:lang w:eastAsia="en-GB"/>
              </w:rPr>
              <w:t>Total Chief Executive Services</w:t>
            </w:r>
          </w:p>
        </w:tc>
        <w:tc>
          <w:tcPr>
            <w:tcW w:w="852" w:type="dxa"/>
            <w:tcBorders>
              <w:top w:val="nil"/>
              <w:left w:val="nil"/>
              <w:bottom w:val="single" w:sz="8" w:space="0" w:color="auto"/>
              <w:right w:val="single" w:sz="4" w:space="0" w:color="auto"/>
            </w:tcBorders>
            <w:shd w:val="clear" w:color="000000" w:fill="D9D9D9"/>
            <w:vAlign w:val="center"/>
            <w:hideMark/>
          </w:tcPr>
          <w:p w14:paraId="7B0E16B6" w14:textId="77777777" w:rsidR="006B08CB" w:rsidRPr="006B08CB" w:rsidRDefault="006B08CB" w:rsidP="006B08CB">
            <w:pPr>
              <w:autoSpaceDE/>
              <w:autoSpaceDN/>
              <w:adjustRightInd/>
              <w:spacing w:after="0"/>
              <w:jc w:val="right"/>
              <w:rPr>
                <w:rFonts w:eastAsia="Times New Roman" w:cs="Arial"/>
                <w:b/>
                <w:bCs/>
                <w:sz w:val="20"/>
                <w:szCs w:val="20"/>
                <w:lang w:eastAsia="en-GB"/>
              </w:rPr>
            </w:pPr>
            <w:r w:rsidRPr="006B08CB">
              <w:rPr>
                <w:rFonts w:eastAsia="Times New Roman" w:cs="Arial"/>
                <w:b/>
                <w:bCs/>
                <w:sz w:val="20"/>
                <w:szCs w:val="20"/>
                <w:lang w:eastAsia="en-GB"/>
              </w:rPr>
              <w:t>-16.143</w:t>
            </w:r>
          </w:p>
        </w:tc>
        <w:tc>
          <w:tcPr>
            <w:tcW w:w="959" w:type="dxa"/>
            <w:tcBorders>
              <w:top w:val="nil"/>
              <w:left w:val="nil"/>
              <w:bottom w:val="single" w:sz="8" w:space="0" w:color="auto"/>
              <w:right w:val="single" w:sz="4" w:space="0" w:color="auto"/>
            </w:tcBorders>
            <w:shd w:val="clear" w:color="000000" w:fill="D9D9D9"/>
            <w:vAlign w:val="center"/>
            <w:hideMark/>
          </w:tcPr>
          <w:p w14:paraId="668A31A9" w14:textId="77777777" w:rsidR="006B08CB" w:rsidRPr="006B08CB" w:rsidRDefault="006B08CB" w:rsidP="006B08CB">
            <w:pPr>
              <w:autoSpaceDE/>
              <w:autoSpaceDN/>
              <w:adjustRightInd/>
              <w:spacing w:after="0"/>
              <w:jc w:val="right"/>
              <w:rPr>
                <w:rFonts w:eastAsia="Times New Roman" w:cs="Arial"/>
                <w:b/>
                <w:bCs/>
                <w:sz w:val="20"/>
                <w:szCs w:val="20"/>
                <w:lang w:eastAsia="en-GB"/>
              </w:rPr>
            </w:pPr>
            <w:r w:rsidRPr="006B08CB">
              <w:rPr>
                <w:rFonts w:eastAsia="Times New Roman" w:cs="Arial"/>
                <w:b/>
                <w:bCs/>
                <w:sz w:val="20"/>
                <w:szCs w:val="20"/>
                <w:lang w:eastAsia="en-GB"/>
              </w:rPr>
              <w:t>-17.199</w:t>
            </w:r>
          </w:p>
        </w:tc>
        <w:tc>
          <w:tcPr>
            <w:tcW w:w="989" w:type="dxa"/>
            <w:tcBorders>
              <w:top w:val="nil"/>
              <w:left w:val="nil"/>
              <w:bottom w:val="single" w:sz="8" w:space="0" w:color="auto"/>
              <w:right w:val="single" w:sz="4" w:space="0" w:color="auto"/>
            </w:tcBorders>
            <w:shd w:val="clear" w:color="000000" w:fill="D9D9D9"/>
            <w:vAlign w:val="center"/>
            <w:hideMark/>
          </w:tcPr>
          <w:p w14:paraId="5EA00FD0" w14:textId="77777777" w:rsidR="006B08CB" w:rsidRPr="006B08CB" w:rsidRDefault="006B08CB" w:rsidP="006B08CB">
            <w:pPr>
              <w:autoSpaceDE/>
              <w:autoSpaceDN/>
              <w:adjustRightInd/>
              <w:spacing w:after="0"/>
              <w:jc w:val="right"/>
              <w:rPr>
                <w:rFonts w:eastAsia="Times New Roman" w:cs="Arial"/>
                <w:b/>
                <w:bCs/>
                <w:sz w:val="20"/>
                <w:szCs w:val="20"/>
                <w:lang w:eastAsia="en-GB"/>
              </w:rPr>
            </w:pPr>
            <w:r w:rsidRPr="006B08CB">
              <w:rPr>
                <w:rFonts w:eastAsia="Times New Roman" w:cs="Arial"/>
                <w:b/>
                <w:bCs/>
                <w:sz w:val="20"/>
                <w:szCs w:val="20"/>
                <w:lang w:eastAsia="en-GB"/>
              </w:rPr>
              <w:t>-1.056</w:t>
            </w:r>
          </w:p>
        </w:tc>
        <w:tc>
          <w:tcPr>
            <w:tcW w:w="883" w:type="dxa"/>
            <w:tcBorders>
              <w:top w:val="nil"/>
              <w:left w:val="nil"/>
              <w:bottom w:val="single" w:sz="8" w:space="0" w:color="auto"/>
              <w:right w:val="single" w:sz="4" w:space="0" w:color="auto"/>
            </w:tcBorders>
            <w:shd w:val="clear" w:color="000000" w:fill="D9D9D9"/>
            <w:vAlign w:val="center"/>
            <w:hideMark/>
          </w:tcPr>
          <w:p w14:paraId="3D8B7C39" w14:textId="77777777" w:rsidR="006B08CB" w:rsidRPr="006B08CB" w:rsidRDefault="006B08CB" w:rsidP="006B08CB">
            <w:pPr>
              <w:autoSpaceDE/>
              <w:autoSpaceDN/>
              <w:adjustRightInd/>
              <w:spacing w:after="0"/>
              <w:jc w:val="right"/>
              <w:rPr>
                <w:rFonts w:eastAsia="Times New Roman" w:cs="Arial"/>
                <w:b/>
                <w:bCs/>
                <w:sz w:val="20"/>
                <w:szCs w:val="20"/>
                <w:lang w:eastAsia="en-GB"/>
              </w:rPr>
            </w:pPr>
            <w:r w:rsidRPr="006B08CB">
              <w:rPr>
                <w:rFonts w:eastAsia="Times New Roman" w:cs="Arial"/>
                <w:b/>
                <w:bCs/>
                <w:sz w:val="20"/>
                <w:szCs w:val="20"/>
                <w:lang w:eastAsia="en-GB"/>
              </w:rPr>
              <w:t>-6.54%</w:t>
            </w:r>
          </w:p>
        </w:tc>
        <w:tc>
          <w:tcPr>
            <w:tcW w:w="1157" w:type="dxa"/>
            <w:tcBorders>
              <w:top w:val="nil"/>
              <w:left w:val="nil"/>
              <w:bottom w:val="single" w:sz="8" w:space="0" w:color="auto"/>
              <w:right w:val="single" w:sz="4" w:space="0" w:color="auto"/>
            </w:tcBorders>
            <w:shd w:val="clear" w:color="000000" w:fill="D9D9D9"/>
            <w:vAlign w:val="center"/>
            <w:hideMark/>
          </w:tcPr>
          <w:p w14:paraId="2B29727F" w14:textId="77777777" w:rsidR="006B08CB" w:rsidRPr="006B08CB" w:rsidRDefault="006B08CB" w:rsidP="006B08CB">
            <w:pPr>
              <w:autoSpaceDE/>
              <w:autoSpaceDN/>
              <w:adjustRightInd/>
              <w:spacing w:after="0"/>
              <w:jc w:val="right"/>
              <w:rPr>
                <w:rFonts w:eastAsia="Times New Roman" w:cs="Arial"/>
                <w:b/>
                <w:bCs/>
                <w:sz w:val="20"/>
                <w:szCs w:val="20"/>
                <w:lang w:eastAsia="en-GB"/>
              </w:rPr>
            </w:pPr>
            <w:r w:rsidRPr="006B08CB">
              <w:rPr>
                <w:rFonts w:eastAsia="Times New Roman" w:cs="Arial"/>
                <w:b/>
                <w:bCs/>
                <w:sz w:val="20"/>
                <w:szCs w:val="20"/>
                <w:lang w:eastAsia="en-GB"/>
              </w:rPr>
              <w:t>-0.934</w:t>
            </w:r>
          </w:p>
        </w:tc>
      </w:tr>
    </w:tbl>
    <w:p w14:paraId="59880C52" w14:textId="77777777" w:rsidR="000F78F1" w:rsidRPr="00F66CF4" w:rsidRDefault="000F78F1" w:rsidP="000F78F1">
      <w:pPr>
        <w:spacing w:after="0"/>
        <w:textAlignment w:val="baseline"/>
        <w:rPr>
          <w:rFonts w:ascii="Segoe UI" w:eastAsia="Times New Roman" w:hAnsi="Segoe UI" w:cs="Segoe UI"/>
          <w:sz w:val="18"/>
          <w:szCs w:val="18"/>
          <w:lang w:eastAsia="en-GB"/>
        </w:rPr>
      </w:pPr>
    </w:p>
    <w:p w14:paraId="534D973B" w14:textId="1139E984" w:rsidR="000F78F1" w:rsidRPr="00F66CF4" w:rsidRDefault="000F78F1" w:rsidP="000F78F1">
      <w:pPr>
        <w:tabs>
          <w:tab w:val="left" w:pos="426"/>
        </w:tabs>
        <w:spacing w:before="100" w:beforeAutospacing="1" w:after="100" w:afterAutospacing="1"/>
        <w:contextualSpacing/>
        <w:rPr>
          <w:rFonts w:cs="Arial"/>
        </w:rPr>
      </w:pPr>
      <w:r w:rsidRPr="00F66CF4">
        <w:rPr>
          <w:rFonts w:cs="Arial"/>
        </w:rPr>
        <w:t xml:space="preserve">The budget for Chief Executive Services is </w:t>
      </w:r>
      <w:r w:rsidR="00F66CF4" w:rsidRPr="00F66CF4">
        <w:rPr>
          <w:rFonts w:cs="Arial"/>
        </w:rPr>
        <w:t>-</w:t>
      </w:r>
      <w:r w:rsidRPr="00F66CF4">
        <w:rPr>
          <w:rFonts w:cs="Arial"/>
        </w:rPr>
        <w:t>£</w:t>
      </w:r>
      <w:r w:rsidR="00F66CF4" w:rsidRPr="00F66CF4">
        <w:rPr>
          <w:rFonts w:cs="Arial"/>
        </w:rPr>
        <w:t>16.143</w:t>
      </w:r>
      <w:r w:rsidRPr="00F66CF4">
        <w:rPr>
          <w:rFonts w:cs="Arial"/>
        </w:rPr>
        <w:t xml:space="preserve">m, the current forecast position is an </w:t>
      </w:r>
      <w:r w:rsidR="00F66CF4" w:rsidRPr="00F66CF4">
        <w:rPr>
          <w:rFonts w:cs="Arial"/>
        </w:rPr>
        <w:t>under</w:t>
      </w:r>
      <w:r w:rsidRPr="00F66CF4">
        <w:rPr>
          <w:rFonts w:cs="Arial"/>
        </w:rPr>
        <w:t>spend of £</w:t>
      </w:r>
      <w:r w:rsidR="00F66CF4" w:rsidRPr="00F66CF4">
        <w:rPr>
          <w:rFonts w:cs="Arial"/>
        </w:rPr>
        <w:t>1.056</w:t>
      </w:r>
      <w:r w:rsidRPr="00F66CF4">
        <w:rPr>
          <w:rFonts w:cs="Arial"/>
        </w:rPr>
        <w:t>m.</w:t>
      </w:r>
    </w:p>
    <w:p w14:paraId="0DBFA2FF" w14:textId="77777777" w:rsidR="000F78F1" w:rsidRPr="00F66CF4" w:rsidRDefault="000F78F1" w:rsidP="000F78F1">
      <w:pPr>
        <w:spacing w:after="0"/>
        <w:rPr>
          <w:rFonts w:cs="Arial"/>
          <w:b/>
          <w:u w:val="single"/>
        </w:rPr>
      </w:pPr>
    </w:p>
    <w:p w14:paraId="0BDCD80C" w14:textId="71D0F95E" w:rsidR="000F78F1" w:rsidRPr="00F66CF4" w:rsidRDefault="00FD29C5" w:rsidP="00FD29C5">
      <w:pPr>
        <w:spacing w:after="0"/>
        <w:rPr>
          <w:b/>
          <w:bCs/>
        </w:rPr>
      </w:pPr>
      <w:r w:rsidRPr="00F66CF4">
        <w:rPr>
          <w:b/>
          <w:bCs/>
        </w:rPr>
        <w:t>Chief Executive Services – Forecast underspend of £</w:t>
      </w:r>
      <w:r w:rsidR="00F66CF4" w:rsidRPr="00F66CF4">
        <w:rPr>
          <w:b/>
          <w:bCs/>
        </w:rPr>
        <w:t>1.056</w:t>
      </w:r>
      <w:r w:rsidRPr="00F66CF4">
        <w:rPr>
          <w:b/>
          <w:bCs/>
        </w:rPr>
        <w:t>m</w:t>
      </w:r>
    </w:p>
    <w:p w14:paraId="3258FBCF" w14:textId="0EF0D01A" w:rsidR="000F78F1" w:rsidRPr="00F66CF4" w:rsidRDefault="00FD29C5" w:rsidP="00FD29C5">
      <w:pPr>
        <w:spacing w:after="0"/>
      </w:pPr>
      <w:r w:rsidRPr="00F66CF4">
        <w:t xml:space="preserve">An underspend is forecast across the Chief Executive Services strategic budget of </w:t>
      </w:r>
      <w:r w:rsidR="00F66CF4" w:rsidRPr="00F66CF4">
        <w:t>c</w:t>
      </w:r>
      <w:r w:rsidRPr="00F66CF4">
        <w:t>£</w:t>
      </w:r>
      <w:r w:rsidR="00F66CF4" w:rsidRPr="00F66CF4">
        <w:t>1.1</w:t>
      </w:r>
      <w:r w:rsidRPr="00F66CF4">
        <w:t>m.</w:t>
      </w:r>
    </w:p>
    <w:bookmarkEnd w:id="1"/>
    <w:p w14:paraId="1AC0F790" w14:textId="77777777" w:rsidR="000F78F1" w:rsidRPr="000F78F1" w:rsidRDefault="000F78F1" w:rsidP="000F78F1">
      <w:pPr>
        <w:autoSpaceDE/>
        <w:autoSpaceDN/>
        <w:adjustRightInd/>
        <w:contextualSpacing/>
        <w:jc w:val="left"/>
        <w:rPr>
          <w:rFonts w:cs="Arial"/>
          <w:i/>
          <w:iCs/>
          <w:lang w:eastAsia="en-GB"/>
        </w:rPr>
      </w:pPr>
    </w:p>
    <w:p w14:paraId="77E60E19" w14:textId="77777777" w:rsidR="000F78F1" w:rsidRPr="000F78F1" w:rsidRDefault="000F78F1" w:rsidP="000F78F1">
      <w:pPr>
        <w:tabs>
          <w:tab w:val="left" w:pos="567"/>
        </w:tabs>
        <w:autoSpaceDE/>
        <w:autoSpaceDN/>
        <w:adjustRightInd/>
        <w:spacing w:before="200"/>
        <w:jc w:val="left"/>
        <w:rPr>
          <w:rFonts w:eastAsia="Times New Roman" w:cs="Times New Roman"/>
          <w:b/>
          <w:bCs/>
          <w:color w:val="auto"/>
          <w:sz w:val="28"/>
          <w:szCs w:val="26"/>
        </w:rPr>
      </w:pPr>
    </w:p>
    <w:p w14:paraId="26B5F98E" w14:textId="2E3393A7" w:rsidR="00BB31E2" w:rsidRDefault="00BB31E2" w:rsidP="003B7520">
      <w:pPr>
        <w:pStyle w:val="Figurecaption"/>
      </w:pPr>
    </w:p>
    <w:p w14:paraId="06BA64B2" w14:textId="7C046E43" w:rsidR="00BB31E2" w:rsidRPr="003B7520" w:rsidRDefault="00BB31E2" w:rsidP="00A21C4E">
      <w:pPr>
        <w:pStyle w:val="Heading2-numbered"/>
        <w:numPr>
          <w:ilvl w:val="0"/>
          <w:numId w:val="0"/>
        </w:numPr>
      </w:pPr>
    </w:p>
    <w:sectPr w:rsidR="00BB31E2" w:rsidRPr="003B7520" w:rsidSect="00067A19">
      <w:headerReference w:type="default" r:id="rId17"/>
      <w:footerReference w:type="default" r:id="rId18"/>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4351" w14:textId="77777777" w:rsidR="009B132A" w:rsidRDefault="009B132A" w:rsidP="00124FDC">
      <w:pPr>
        <w:spacing w:after="0"/>
      </w:pPr>
      <w:r>
        <w:separator/>
      </w:r>
    </w:p>
  </w:endnote>
  <w:endnote w:type="continuationSeparator" w:id="0">
    <w:p w14:paraId="2E3C4E82" w14:textId="77777777" w:rsidR="009B132A" w:rsidRDefault="009B132A" w:rsidP="00124FDC">
      <w:pPr>
        <w:spacing w:after="0"/>
      </w:pPr>
      <w:r>
        <w:continuationSeparator/>
      </w:r>
    </w:p>
  </w:endnote>
  <w:endnote w:type="continuationNotice" w:id="1">
    <w:p w14:paraId="44F45886" w14:textId="77777777" w:rsidR="009B132A" w:rsidRDefault="009B13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D8C0" w14:textId="77777777" w:rsidR="000F78F1" w:rsidRDefault="000F7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310D589D" w:rsidR="009E0556" w:rsidRDefault="00436756">
    <w:pPr>
      <w:pStyle w:val="Footer"/>
    </w:pPr>
    <w:r>
      <w:rPr>
        <w:noProof/>
      </w:rPr>
      <w:drawing>
        <wp:anchor distT="0" distB="0" distL="114300" distR="114300" simplePos="0" relativeHeight="251658243" behindDoc="1" locked="0" layoutInCell="1" allowOverlap="1" wp14:anchorId="62EE10A3" wp14:editId="54F75F3C">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2FA939DF" w:rsidR="00E429E1" w:rsidRDefault="00436756">
    <w:pPr>
      <w:pStyle w:val="Footer"/>
    </w:pPr>
    <w:r>
      <w:rPr>
        <w:noProof/>
      </w:rPr>
      <w:drawing>
        <wp:anchor distT="0" distB="0" distL="114300" distR="114300" simplePos="0" relativeHeight="251658241" behindDoc="1" locked="0" layoutInCell="1" allowOverlap="1" wp14:anchorId="6A118C70" wp14:editId="2F2EC0DA">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460"/>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37874B4A" w:rsidR="00DB6FF3" w:rsidRDefault="00436756" w:rsidP="008E5502">
    <w:pPr>
      <w:pStyle w:val="anchor"/>
    </w:pPr>
    <w:r>
      <w:rPr>
        <w:noProof/>
      </w:rPr>
      <w:drawing>
        <wp:anchor distT="0" distB="0" distL="114300" distR="114300" simplePos="0" relativeHeight="251658244" behindDoc="1" locked="0" layoutInCell="1" allowOverlap="1" wp14:anchorId="2EB23F74" wp14:editId="79CC8E98">
          <wp:simplePos x="0" y="0"/>
          <wp:positionH relativeFrom="column">
            <wp:posOffset>-914400</wp:posOffset>
          </wp:positionH>
          <wp:positionV relativeFrom="paragraph">
            <wp:posOffset>-280035</wp:posOffset>
          </wp:positionV>
          <wp:extent cx="7555865" cy="6477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13EB" w14:textId="77777777" w:rsidR="009B132A" w:rsidRDefault="009B132A" w:rsidP="00124FDC">
      <w:pPr>
        <w:spacing w:after="0"/>
      </w:pPr>
      <w:r>
        <w:separator/>
      </w:r>
    </w:p>
  </w:footnote>
  <w:footnote w:type="continuationSeparator" w:id="0">
    <w:p w14:paraId="272CC220" w14:textId="77777777" w:rsidR="009B132A" w:rsidRDefault="009B132A" w:rsidP="00124FDC">
      <w:pPr>
        <w:spacing w:after="0"/>
      </w:pPr>
      <w:r>
        <w:continuationSeparator/>
      </w:r>
    </w:p>
  </w:footnote>
  <w:footnote w:type="continuationNotice" w:id="1">
    <w:p w14:paraId="1536C586" w14:textId="77777777" w:rsidR="009B132A" w:rsidRDefault="009B13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FCC" w14:textId="77777777" w:rsidR="000F78F1" w:rsidRDefault="000F7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7049836E" w:rsidR="00462EE6" w:rsidRDefault="00436756">
    <w:pPr>
      <w:pStyle w:val="Header"/>
    </w:pPr>
    <w:r>
      <w:rPr>
        <w:noProof/>
      </w:rPr>
      <w:drawing>
        <wp:anchor distT="0" distB="0" distL="114300" distR="114300" simplePos="0" relativeHeight="251658242" behindDoc="1" locked="0" layoutInCell="1" allowOverlap="1" wp14:anchorId="418A8955" wp14:editId="469C2BCF">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5D5C8947" w:rsidR="00250C1A" w:rsidRDefault="00436756">
    <w:pPr>
      <w:pStyle w:val="Header"/>
    </w:pPr>
    <w:r>
      <w:rPr>
        <w:noProof/>
      </w:rPr>
      <w:drawing>
        <wp:anchor distT="0" distB="0" distL="114300" distR="114300" simplePos="0" relativeHeight="251658240" behindDoc="1" locked="0" layoutInCell="1" allowOverlap="1" wp14:anchorId="0C4C89EC" wp14:editId="464EF011">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45AC" w14:textId="2CE473B0"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3C8"/>
    <w:multiLevelType w:val="hybridMultilevel"/>
    <w:tmpl w:val="367E0F12"/>
    <w:lvl w:ilvl="0" w:tplc="FA507FF2">
      <w:start w:val="1"/>
      <w:numFmt w:val="bullet"/>
      <w:lvlText w:val=""/>
      <w:lvlJc w:val="left"/>
      <w:pPr>
        <w:ind w:left="720" w:hanging="360"/>
      </w:pPr>
      <w:rPr>
        <w:rFonts w:ascii="Symbol" w:hAnsi="Symbol" w:hint="default"/>
      </w:rPr>
    </w:lvl>
    <w:lvl w:ilvl="1" w:tplc="052E1DE4" w:tentative="1">
      <w:start w:val="1"/>
      <w:numFmt w:val="bullet"/>
      <w:lvlText w:val="o"/>
      <w:lvlJc w:val="left"/>
      <w:pPr>
        <w:ind w:left="1440" w:hanging="360"/>
      </w:pPr>
      <w:rPr>
        <w:rFonts w:ascii="Courier New" w:hAnsi="Courier New" w:cs="Courier New" w:hint="default"/>
      </w:rPr>
    </w:lvl>
    <w:lvl w:ilvl="2" w:tplc="2698DDF8" w:tentative="1">
      <w:start w:val="1"/>
      <w:numFmt w:val="bullet"/>
      <w:lvlText w:val=""/>
      <w:lvlJc w:val="left"/>
      <w:pPr>
        <w:ind w:left="2160" w:hanging="360"/>
      </w:pPr>
      <w:rPr>
        <w:rFonts w:ascii="Wingdings" w:hAnsi="Wingdings" w:hint="default"/>
      </w:rPr>
    </w:lvl>
    <w:lvl w:ilvl="3" w:tplc="2A0A3250" w:tentative="1">
      <w:start w:val="1"/>
      <w:numFmt w:val="bullet"/>
      <w:lvlText w:val=""/>
      <w:lvlJc w:val="left"/>
      <w:pPr>
        <w:ind w:left="2880" w:hanging="360"/>
      </w:pPr>
      <w:rPr>
        <w:rFonts w:ascii="Symbol" w:hAnsi="Symbol" w:hint="default"/>
      </w:rPr>
    </w:lvl>
    <w:lvl w:ilvl="4" w:tplc="9AFC486A" w:tentative="1">
      <w:start w:val="1"/>
      <w:numFmt w:val="bullet"/>
      <w:lvlText w:val="o"/>
      <w:lvlJc w:val="left"/>
      <w:pPr>
        <w:ind w:left="3600" w:hanging="360"/>
      </w:pPr>
      <w:rPr>
        <w:rFonts w:ascii="Courier New" w:hAnsi="Courier New" w:cs="Courier New" w:hint="default"/>
      </w:rPr>
    </w:lvl>
    <w:lvl w:ilvl="5" w:tplc="81D2D28A" w:tentative="1">
      <w:start w:val="1"/>
      <w:numFmt w:val="bullet"/>
      <w:lvlText w:val=""/>
      <w:lvlJc w:val="left"/>
      <w:pPr>
        <w:ind w:left="4320" w:hanging="360"/>
      </w:pPr>
      <w:rPr>
        <w:rFonts w:ascii="Wingdings" w:hAnsi="Wingdings" w:hint="default"/>
      </w:rPr>
    </w:lvl>
    <w:lvl w:ilvl="6" w:tplc="7B480E68" w:tentative="1">
      <w:start w:val="1"/>
      <w:numFmt w:val="bullet"/>
      <w:lvlText w:val=""/>
      <w:lvlJc w:val="left"/>
      <w:pPr>
        <w:ind w:left="5040" w:hanging="360"/>
      </w:pPr>
      <w:rPr>
        <w:rFonts w:ascii="Symbol" w:hAnsi="Symbol" w:hint="default"/>
      </w:rPr>
    </w:lvl>
    <w:lvl w:ilvl="7" w:tplc="FB50F370" w:tentative="1">
      <w:start w:val="1"/>
      <w:numFmt w:val="bullet"/>
      <w:lvlText w:val="o"/>
      <w:lvlJc w:val="left"/>
      <w:pPr>
        <w:ind w:left="5760" w:hanging="360"/>
      </w:pPr>
      <w:rPr>
        <w:rFonts w:ascii="Courier New" w:hAnsi="Courier New" w:cs="Courier New" w:hint="default"/>
      </w:rPr>
    </w:lvl>
    <w:lvl w:ilvl="8" w:tplc="C0EA7724"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1478FF"/>
    <w:multiLevelType w:val="hybridMultilevel"/>
    <w:tmpl w:val="3060512C"/>
    <w:lvl w:ilvl="0" w:tplc="7D860F80">
      <w:start w:val="1"/>
      <w:numFmt w:val="bullet"/>
      <w:lvlText w:val=""/>
      <w:lvlJc w:val="left"/>
      <w:pPr>
        <w:ind w:left="720" w:hanging="360"/>
      </w:pPr>
      <w:rPr>
        <w:rFonts w:ascii="Symbol" w:hAnsi="Symbol" w:hint="default"/>
      </w:rPr>
    </w:lvl>
    <w:lvl w:ilvl="1" w:tplc="EF681CDE">
      <w:start w:val="1"/>
      <w:numFmt w:val="bullet"/>
      <w:lvlText w:val="o"/>
      <w:lvlJc w:val="left"/>
      <w:pPr>
        <w:ind w:left="1440" w:hanging="360"/>
      </w:pPr>
      <w:rPr>
        <w:rFonts w:ascii="Courier New" w:hAnsi="Courier New" w:hint="default"/>
      </w:rPr>
    </w:lvl>
    <w:lvl w:ilvl="2" w:tplc="F6FCE9FE">
      <w:start w:val="1"/>
      <w:numFmt w:val="bullet"/>
      <w:lvlText w:val=""/>
      <w:lvlJc w:val="left"/>
      <w:pPr>
        <w:ind w:left="2160" w:hanging="360"/>
      </w:pPr>
      <w:rPr>
        <w:rFonts w:ascii="Wingdings" w:hAnsi="Wingdings" w:hint="default"/>
      </w:rPr>
    </w:lvl>
    <w:lvl w:ilvl="3" w:tplc="52DAD6BE">
      <w:start w:val="1"/>
      <w:numFmt w:val="bullet"/>
      <w:lvlText w:val=""/>
      <w:lvlJc w:val="left"/>
      <w:pPr>
        <w:ind w:left="2880" w:hanging="360"/>
      </w:pPr>
      <w:rPr>
        <w:rFonts w:ascii="Symbol" w:hAnsi="Symbol" w:hint="default"/>
      </w:rPr>
    </w:lvl>
    <w:lvl w:ilvl="4" w:tplc="D2FC9514">
      <w:start w:val="1"/>
      <w:numFmt w:val="bullet"/>
      <w:lvlText w:val="o"/>
      <w:lvlJc w:val="left"/>
      <w:pPr>
        <w:ind w:left="3600" w:hanging="360"/>
      </w:pPr>
      <w:rPr>
        <w:rFonts w:ascii="Courier New" w:hAnsi="Courier New" w:hint="default"/>
      </w:rPr>
    </w:lvl>
    <w:lvl w:ilvl="5" w:tplc="99D8A026">
      <w:start w:val="1"/>
      <w:numFmt w:val="bullet"/>
      <w:lvlText w:val=""/>
      <w:lvlJc w:val="left"/>
      <w:pPr>
        <w:ind w:left="4320" w:hanging="360"/>
      </w:pPr>
      <w:rPr>
        <w:rFonts w:ascii="Wingdings" w:hAnsi="Wingdings" w:hint="default"/>
      </w:rPr>
    </w:lvl>
    <w:lvl w:ilvl="6" w:tplc="39AE2B48">
      <w:start w:val="1"/>
      <w:numFmt w:val="bullet"/>
      <w:lvlText w:val=""/>
      <w:lvlJc w:val="left"/>
      <w:pPr>
        <w:ind w:left="5040" w:hanging="360"/>
      </w:pPr>
      <w:rPr>
        <w:rFonts w:ascii="Symbol" w:hAnsi="Symbol" w:hint="default"/>
      </w:rPr>
    </w:lvl>
    <w:lvl w:ilvl="7" w:tplc="F83E2154">
      <w:start w:val="1"/>
      <w:numFmt w:val="bullet"/>
      <w:lvlText w:val="o"/>
      <w:lvlJc w:val="left"/>
      <w:pPr>
        <w:ind w:left="5760" w:hanging="360"/>
      </w:pPr>
      <w:rPr>
        <w:rFonts w:ascii="Courier New" w:hAnsi="Courier New" w:hint="default"/>
      </w:rPr>
    </w:lvl>
    <w:lvl w:ilvl="8" w:tplc="1C28B070">
      <w:start w:val="1"/>
      <w:numFmt w:val="bullet"/>
      <w:lvlText w:val=""/>
      <w:lvlJc w:val="left"/>
      <w:pPr>
        <w:ind w:left="6480" w:hanging="360"/>
      </w:pPr>
      <w:rPr>
        <w:rFonts w:ascii="Wingdings" w:hAnsi="Wingdings" w:hint="default"/>
      </w:rPr>
    </w:lvl>
  </w:abstractNum>
  <w:abstractNum w:abstractNumId="4" w15:restartNumberingAfterBreak="0">
    <w:nsid w:val="5B1A3C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926270"/>
    <w:multiLevelType w:val="hybridMultilevel"/>
    <w:tmpl w:val="1D4A1BAE"/>
    <w:lvl w:ilvl="0" w:tplc="BDFC0CD4">
      <w:start w:val="1"/>
      <w:numFmt w:val="bullet"/>
      <w:lvlText w:val=""/>
      <w:lvlJc w:val="left"/>
      <w:pPr>
        <w:ind w:left="720" w:hanging="360"/>
      </w:pPr>
      <w:rPr>
        <w:rFonts w:ascii="Symbol" w:hAnsi="Symbol" w:hint="default"/>
      </w:rPr>
    </w:lvl>
    <w:lvl w:ilvl="1" w:tplc="8C9CC1F2" w:tentative="1">
      <w:start w:val="1"/>
      <w:numFmt w:val="bullet"/>
      <w:lvlText w:val="o"/>
      <w:lvlJc w:val="left"/>
      <w:pPr>
        <w:ind w:left="1440" w:hanging="360"/>
      </w:pPr>
      <w:rPr>
        <w:rFonts w:ascii="Courier New" w:hAnsi="Courier New" w:cs="Courier New" w:hint="default"/>
      </w:rPr>
    </w:lvl>
    <w:lvl w:ilvl="2" w:tplc="18CE0CBC" w:tentative="1">
      <w:start w:val="1"/>
      <w:numFmt w:val="bullet"/>
      <w:lvlText w:val=""/>
      <w:lvlJc w:val="left"/>
      <w:pPr>
        <w:ind w:left="2160" w:hanging="360"/>
      </w:pPr>
      <w:rPr>
        <w:rFonts w:ascii="Wingdings" w:hAnsi="Wingdings" w:hint="default"/>
      </w:rPr>
    </w:lvl>
    <w:lvl w:ilvl="3" w:tplc="F5704E30" w:tentative="1">
      <w:start w:val="1"/>
      <w:numFmt w:val="bullet"/>
      <w:lvlText w:val=""/>
      <w:lvlJc w:val="left"/>
      <w:pPr>
        <w:ind w:left="2880" w:hanging="360"/>
      </w:pPr>
      <w:rPr>
        <w:rFonts w:ascii="Symbol" w:hAnsi="Symbol" w:hint="default"/>
      </w:rPr>
    </w:lvl>
    <w:lvl w:ilvl="4" w:tplc="E0FE0C32" w:tentative="1">
      <w:start w:val="1"/>
      <w:numFmt w:val="bullet"/>
      <w:lvlText w:val="o"/>
      <w:lvlJc w:val="left"/>
      <w:pPr>
        <w:ind w:left="3600" w:hanging="360"/>
      </w:pPr>
      <w:rPr>
        <w:rFonts w:ascii="Courier New" w:hAnsi="Courier New" w:cs="Courier New" w:hint="default"/>
      </w:rPr>
    </w:lvl>
    <w:lvl w:ilvl="5" w:tplc="4A3A18C6" w:tentative="1">
      <w:start w:val="1"/>
      <w:numFmt w:val="bullet"/>
      <w:lvlText w:val=""/>
      <w:lvlJc w:val="left"/>
      <w:pPr>
        <w:ind w:left="4320" w:hanging="360"/>
      </w:pPr>
      <w:rPr>
        <w:rFonts w:ascii="Wingdings" w:hAnsi="Wingdings" w:hint="default"/>
      </w:rPr>
    </w:lvl>
    <w:lvl w:ilvl="6" w:tplc="A686FBC6" w:tentative="1">
      <w:start w:val="1"/>
      <w:numFmt w:val="bullet"/>
      <w:lvlText w:val=""/>
      <w:lvlJc w:val="left"/>
      <w:pPr>
        <w:ind w:left="5040" w:hanging="360"/>
      </w:pPr>
      <w:rPr>
        <w:rFonts w:ascii="Symbol" w:hAnsi="Symbol" w:hint="default"/>
      </w:rPr>
    </w:lvl>
    <w:lvl w:ilvl="7" w:tplc="98C434B2" w:tentative="1">
      <w:start w:val="1"/>
      <w:numFmt w:val="bullet"/>
      <w:lvlText w:val="o"/>
      <w:lvlJc w:val="left"/>
      <w:pPr>
        <w:ind w:left="5760" w:hanging="360"/>
      </w:pPr>
      <w:rPr>
        <w:rFonts w:ascii="Courier New" w:hAnsi="Courier New" w:cs="Courier New" w:hint="default"/>
      </w:rPr>
    </w:lvl>
    <w:lvl w:ilvl="8" w:tplc="07909554" w:tentative="1">
      <w:start w:val="1"/>
      <w:numFmt w:val="bullet"/>
      <w:lvlText w:val=""/>
      <w:lvlJc w:val="left"/>
      <w:pPr>
        <w:ind w:left="6480" w:hanging="360"/>
      </w:pPr>
      <w:rPr>
        <w:rFonts w:ascii="Wingdings" w:hAnsi="Wingdings" w:hint="default"/>
      </w:rPr>
    </w:lvl>
  </w:abstractNum>
  <w:abstractNum w:abstractNumId="6"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925099"/>
    <w:multiLevelType w:val="hybridMultilevel"/>
    <w:tmpl w:val="AD10ABB8"/>
    <w:lvl w:ilvl="0" w:tplc="FAC4B7B0">
      <w:start w:val="1"/>
      <w:numFmt w:val="bullet"/>
      <w:lvlText w:val=""/>
      <w:lvlJc w:val="left"/>
      <w:pPr>
        <w:ind w:left="720" w:hanging="360"/>
      </w:pPr>
      <w:rPr>
        <w:rFonts w:ascii="Symbol" w:hAnsi="Symbol" w:hint="default"/>
      </w:rPr>
    </w:lvl>
    <w:lvl w:ilvl="1" w:tplc="8E5CC7A6" w:tentative="1">
      <w:start w:val="1"/>
      <w:numFmt w:val="bullet"/>
      <w:lvlText w:val="o"/>
      <w:lvlJc w:val="left"/>
      <w:pPr>
        <w:ind w:left="1440" w:hanging="360"/>
      </w:pPr>
      <w:rPr>
        <w:rFonts w:ascii="Courier New" w:hAnsi="Courier New" w:cs="Courier New" w:hint="default"/>
      </w:rPr>
    </w:lvl>
    <w:lvl w:ilvl="2" w:tplc="C4B28B3E" w:tentative="1">
      <w:start w:val="1"/>
      <w:numFmt w:val="bullet"/>
      <w:lvlText w:val=""/>
      <w:lvlJc w:val="left"/>
      <w:pPr>
        <w:ind w:left="2160" w:hanging="360"/>
      </w:pPr>
      <w:rPr>
        <w:rFonts w:ascii="Wingdings" w:hAnsi="Wingdings" w:hint="default"/>
      </w:rPr>
    </w:lvl>
    <w:lvl w:ilvl="3" w:tplc="2B361E10" w:tentative="1">
      <w:start w:val="1"/>
      <w:numFmt w:val="bullet"/>
      <w:lvlText w:val=""/>
      <w:lvlJc w:val="left"/>
      <w:pPr>
        <w:ind w:left="2880" w:hanging="360"/>
      </w:pPr>
      <w:rPr>
        <w:rFonts w:ascii="Symbol" w:hAnsi="Symbol" w:hint="default"/>
      </w:rPr>
    </w:lvl>
    <w:lvl w:ilvl="4" w:tplc="8F54367E" w:tentative="1">
      <w:start w:val="1"/>
      <w:numFmt w:val="bullet"/>
      <w:lvlText w:val="o"/>
      <w:lvlJc w:val="left"/>
      <w:pPr>
        <w:ind w:left="3600" w:hanging="360"/>
      </w:pPr>
      <w:rPr>
        <w:rFonts w:ascii="Courier New" w:hAnsi="Courier New" w:cs="Courier New" w:hint="default"/>
      </w:rPr>
    </w:lvl>
    <w:lvl w:ilvl="5" w:tplc="0E760E2C" w:tentative="1">
      <w:start w:val="1"/>
      <w:numFmt w:val="bullet"/>
      <w:lvlText w:val=""/>
      <w:lvlJc w:val="left"/>
      <w:pPr>
        <w:ind w:left="4320" w:hanging="360"/>
      </w:pPr>
      <w:rPr>
        <w:rFonts w:ascii="Wingdings" w:hAnsi="Wingdings" w:hint="default"/>
      </w:rPr>
    </w:lvl>
    <w:lvl w:ilvl="6" w:tplc="13A60A8E" w:tentative="1">
      <w:start w:val="1"/>
      <w:numFmt w:val="bullet"/>
      <w:lvlText w:val=""/>
      <w:lvlJc w:val="left"/>
      <w:pPr>
        <w:ind w:left="5040" w:hanging="360"/>
      </w:pPr>
      <w:rPr>
        <w:rFonts w:ascii="Symbol" w:hAnsi="Symbol" w:hint="default"/>
      </w:rPr>
    </w:lvl>
    <w:lvl w:ilvl="7" w:tplc="55F86128" w:tentative="1">
      <w:start w:val="1"/>
      <w:numFmt w:val="bullet"/>
      <w:lvlText w:val="o"/>
      <w:lvlJc w:val="left"/>
      <w:pPr>
        <w:ind w:left="5760" w:hanging="360"/>
      </w:pPr>
      <w:rPr>
        <w:rFonts w:ascii="Courier New" w:hAnsi="Courier New" w:cs="Courier New" w:hint="default"/>
      </w:rPr>
    </w:lvl>
    <w:lvl w:ilvl="8" w:tplc="A5AC3BD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5"/>
  </w:num>
  <w:num w:numId="7">
    <w:abstractNumId w:val="0"/>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5E3"/>
    <w:rsid w:val="00002B14"/>
    <w:rsid w:val="00003BF4"/>
    <w:rsid w:val="00004DA9"/>
    <w:rsid w:val="0001341B"/>
    <w:rsid w:val="00013668"/>
    <w:rsid w:val="000169CE"/>
    <w:rsid w:val="0002009B"/>
    <w:rsid w:val="0002269F"/>
    <w:rsid w:val="00024203"/>
    <w:rsid w:val="000352B1"/>
    <w:rsid w:val="00037BDC"/>
    <w:rsid w:val="0004609F"/>
    <w:rsid w:val="00054C03"/>
    <w:rsid w:val="000633C8"/>
    <w:rsid w:val="00067A19"/>
    <w:rsid w:val="000701AB"/>
    <w:rsid w:val="00070B41"/>
    <w:rsid w:val="00073131"/>
    <w:rsid w:val="0007606B"/>
    <w:rsid w:val="0008360D"/>
    <w:rsid w:val="00083A2C"/>
    <w:rsid w:val="00085254"/>
    <w:rsid w:val="00085C63"/>
    <w:rsid w:val="00091583"/>
    <w:rsid w:val="000915FB"/>
    <w:rsid w:val="00092756"/>
    <w:rsid w:val="0009438D"/>
    <w:rsid w:val="00096F32"/>
    <w:rsid w:val="000A1E1B"/>
    <w:rsid w:val="000A2ED8"/>
    <w:rsid w:val="000A30BB"/>
    <w:rsid w:val="000A3BD2"/>
    <w:rsid w:val="000A5D31"/>
    <w:rsid w:val="000B11F8"/>
    <w:rsid w:val="000B29E0"/>
    <w:rsid w:val="000B31DE"/>
    <w:rsid w:val="000B4E7D"/>
    <w:rsid w:val="000C7BD6"/>
    <w:rsid w:val="000D0BF8"/>
    <w:rsid w:val="000D1290"/>
    <w:rsid w:val="000D15C8"/>
    <w:rsid w:val="000D3601"/>
    <w:rsid w:val="000D4BF2"/>
    <w:rsid w:val="000D6819"/>
    <w:rsid w:val="000E00B0"/>
    <w:rsid w:val="000E4EEE"/>
    <w:rsid w:val="000F2763"/>
    <w:rsid w:val="000F2931"/>
    <w:rsid w:val="000F78F1"/>
    <w:rsid w:val="001001D6"/>
    <w:rsid w:val="001106C4"/>
    <w:rsid w:val="00111805"/>
    <w:rsid w:val="00112B05"/>
    <w:rsid w:val="00114B7A"/>
    <w:rsid w:val="00123C20"/>
    <w:rsid w:val="001248E1"/>
    <w:rsid w:val="00124FDC"/>
    <w:rsid w:val="00127DCB"/>
    <w:rsid w:val="001318F2"/>
    <w:rsid w:val="0013228A"/>
    <w:rsid w:val="00134487"/>
    <w:rsid w:val="00140225"/>
    <w:rsid w:val="001416EF"/>
    <w:rsid w:val="00142E26"/>
    <w:rsid w:val="001450E7"/>
    <w:rsid w:val="00145C7C"/>
    <w:rsid w:val="0015063B"/>
    <w:rsid w:val="00150C4A"/>
    <w:rsid w:val="00157938"/>
    <w:rsid w:val="00161220"/>
    <w:rsid w:val="0016157E"/>
    <w:rsid w:val="0016239A"/>
    <w:rsid w:val="00165163"/>
    <w:rsid w:val="00171686"/>
    <w:rsid w:val="00174280"/>
    <w:rsid w:val="0017632B"/>
    <w:rsid w:val="00181B7F"/>
    <w:rsid w:val="00183014"/>
    <w:rsid w:val="001873E0"/>
    <w:rsid w:val="001973FD"/>
    <w:rsid w:val="001A134C"/>
    <w:rsid w:val="001A5E75"/>
    <w:rsid w:val="001B37A8"/>
    <w:rsid w:val="001B5010"/>
    <w:rsid w:val="001B556B"/>
    <w:rsid w:val="001B5D71"/>
    <w:rsid w:val="001B5D9D"/>
    <w:rsid w:val="001C4420"/>
    <w:rsid w:val="001D2266"/>
    <w:rsid w:val="001D2E39"/>
    <w:rsid w:val="001D3809"/>
    <w:rsid w:val="001D6C4E"/>
    <w:rsid w:val="001E22B3"/>
    <w:rsid w:val="001E34FA"/>
    <w:rsid w:val="001E417F"/>
    <w:rsid w:val="001E6E2C"/>
    <w:rsid w:val="001E7EF0"/>
    <w:rsid w:val="001F002B"/>
    <w:rsid w:val="001F20A8"/>
    <w:rsid w:val="001F37BE"/>
    <w:rsid w:val="00204D63"/>
    <w:rsid w:val="002066F4"/>
    <w:rsid w:val="00210D52"/>
    <w:rsid w:val="00211C20"/>
    <w:rsid w:val="00212AC0"/>
    <w:rsid w:val="002146AB"/>
    <w:rsid w:val="00214801"/>
    <w:rsid w:val="0021654A"/>
    <w:rsid w:val="0021674B"/>
    <w:rsid w:val="00216D84"/>
    <w:rsid w:val="00222D1E"/>
    <w:rsid w:val="002234AA"/>
    <w:rsid w:val="00225439"/>
    <w:rsid w:val="00227E9E"/>
    <w:rsid w:val="002345FB"/>
    <w:rsid w:val="00234692"/>
    <w:rsid w:val="002427A9"/>
    <w:rsid w:val="00243F2B"/>
    <w:rsid w:val="00247B58"/>
    <w:rsid w:val="00250C1A"/>
    <w:rsid w:val="00255D3E"/>
    <w:rsid w:val="002578B8"/>
    <w:rsid w:val="00257E02"/>
    <w:rsid w:val="0026024A"/>
    <w:rsid w:val="002622C7"/>
    <w:rsid w:val="00263E0C"/>
    <w:rsid w:val="002647ED"/>
    <w:rsid w:val="0026678D"/>
    <w:rsid w:val="00267E3B"/>
    <w:rsid w:val="00275B89"/>
    <w:rsid w:val="00275BB9"/>
    <w:rsid w:val="00285898"/>
    <w:rsid w:val="002918E8"/>
    <w:rsid w:val="0029193A"/>
    <w:rsid w:val="00293105"/>
    <w:rsid w:val="002A0203"/>
    <w:rsid w:val="002A3292"/>
    <w:rsid w:val="002A6DE2"/>
    <w:rsid w:val="002B6FC4"/>
    <w:rsid w:val="002C4196"/>
    <w:rsid w:val="002C56ED"/>
    <w:rsid w:val="002D5781"/>
    <w:rsid w:val="002D6208"/>
    <w:rsid w:val="002E0CED"/>
    <w:rsid w:val="002E0E63"/>
    <w:rsid w:val="002E5340"/>
    <w:rsid w:val="002F37C7"/>
    <w:rsid w:val="002F3CA5"/>
    <w:rsid w:val="002F4AF1"/>
    <w:rsid w:val="002F6C9B"/>
    <w:rsid w:val="003006E7"/>
    <w:rsid w:val="00300E7F"/>
    <w:rsid w:val="003059E8"/>
    <w:rsid w:val="00313657"/>
    <w:rsid w:val="00317A85"/>
    <w:rsid w:val="003218D4"/>
    <w:rsid w:val="0032276D"/>
    <w:rsid w:val="0032298A"/>
    <w:rsid w:val="00325446"/>
    <w:rsid w:val="00325CF6"/>
    <w:rsid w:val="00326867"/>
    <w:rsid w:val="00330A41"/>
    <w:rsid w:val="00330E49"/>
    <w:rsid w:val="003321F2"/>
    <w:rsid w:val="00333BCE"/>
    <w:rsid w:val="003348C9"/>
    <w:rsid w:val="003350AF"/>
    <w:rsid w:val="00340774"/>
    <w:rsid w:val="00341D99"/>
    <w:rsid w:val="00342BA7"/>
    <w:rsid w:val="0034477E"/>
    <w:rsid w:val="0034717B"/>
    <w:rsid w:val="00350F56"/>
    <w:rsid w:val="00351644"/>
    <w:rsid w:val="00352C6F"/>
    <w:rsid w:val="003648C2"/>
    <w:rsid w:val="00365825"/>
    <w:rsid w:val="0036771B"/>
    <w:rsid w:val="00377F81"/>
    <w:rsid w:val="0038337C"/>
    <w:rsid w:val="00383A83"/>
    <w:rsid w:val="00386A2A"/>
    <w:rsid w:val="00386B6C"/>
    <w:rsid w:val="00394975"/>
    <w:rsid w:val="003A1A7B"/>
    <w:rsid w:val="003A3D98"/>
    <w:rsid w:val="003A55F8"/>
    <w:rsid w:val="003A7DCB"/>
    <w:rsid w:val="003B0C73"/>
    <w:rsid w:val="003B403B"/>
    <w:rsid w:val="003B495F"/>
    <w:rsid w:val="003B7520"/>
    <w:rsid w:val="003B77BD"/>
    <w:rsid w:val="003C5D0D"/>
    <w:rsid w:val="003D1166"/>
    <w:rsid w:val="003D30BA"/>
    <w:rsid w:val="003E1CEE"/>
    <w:rsid w:val="003E4C50"/>
    <w:rsid w:val="003E743D"/>
    <w:rsid w:val="003F177D"/>
    <w:rsid w:val="003F1C3E"/>
    <w:rsid w:val="003F4D17"/>
    <w:rsid w:val="003F55B6"/>
    <w:rsid w:val="00413F03"/>
    <w:rsid w:val="00424E57"/>
    <w:rsid w:val="0042503D"/>
    <w:rsid w:val="00432C13"/>
    <w:rsid w:val="00436756"/>
    <w:rsid w:val="004409F6"/>
    <w:rsid w:val="00442270"/>
    <w:rsid w:val="004445CF"/>
    <w:rsid w:val="00451CE6"/>
    <w:rsid w:val="004533FD"/>
    <w:rsid w:val="00456F15"/>
    <w:rsid w:val="00462EE6"/>
    <w:rsid w:val="004630D3"/>
    <w:rsid w:val="004657D2"/>
    <w:rsid w:val="004668E5"/>
    <w:rsid w:val="00470EFA"/>
    <w:rsid w:val="0047250F"/>
    <w:rsid w:val="00472A0F"/>
    <w:rsid w:val="00475672"/>
    <w:rsid w:val="00476391"/>
    <w:rsid w:val="00482286"/>
    <w:rsid w:val="00487350"/>
    <w:rsid w:val="00490411"/>
    <w:rsid w:val="004A4F18"/>
    <w:rsid w:val="004B5723"/>
    <w:rsid w:val="004B573E"/>
    <w:rsid w:val="004C2149"/>
    <w:rsid w:val="004C22BB"/>
    <w:rsid w:val="004C2626"/>
    <w:rsid w:val="004C6F58"/>
    <w:rsid w:val="004D0F2F"/>
    <w:rsid w:val="004D1FF0"/>
    <w:rsid w:val="004D5FEC"/>
    <w:rsid w:val="004D5FF3"/>
    <w:rsid w:val="004E537B"/>
    <w:rsid w:val="004E55DA"/>
    <w:rsid w:val="004E6BAE"/>
    <w:rsid w:val="004F0D27"/>
    <w:rsid w:val="004F20A8"/>
    <w:rsid w:val="004F480D"/>
    <w:rsid w:val="004F4F4A"/>
    <w:rsid w:val="004F7221"/>
    <w:rsid w:val="005001EC"/>
    <w:rsid w:val="0050767C"/>
    <w:rsid w:val="005107F5"/>
    <w:rsid w:val="00510A25"/>
    <w:rsid w:val="00511F5D"/>
    <w:rsid w:val="005141A6"/>
    <w:rsid w:val="005154CB"/>
    <w:rsid w:val="00516099"/>
    <w:rsid w:val="00516FCA"/>
    <w:rsid w:val="005231AF"/>
    <w:rsid w:val="00525100"/>
    <w:rsid w:val="00527465"/>
    <w:rsid w:val="00530C4C"/>
    <w:rsid w:val="00531F2A"/>
    <w:rsid w:val="005320BE"/>
    <w:rsid w:val="00532BE2"/>
    <w:rsid w:val="005331E8"/>
    <w:rsid w:val="00533982"/>
    <w:rsid w:val="005360E5"/>
    <w:rsid w:val="0054261B"/>
    <w:rsid w:val="00553EFD"/>
    <w:rsid w:val="005546BD"/>
    <w:rsid w:val="005602EE"/>
    <w:rsid w:val="00562427"/>
    <w:rsid w:val="00563687"/>
    <w:rsid w:val="00565DF7"/>
    <w:rsid w:val="00575984"/>
    <w:rsid w:val="005802F2"/>
    <w:rsid w:val="005841F9"/>
    <w:rsid w:val="005908E3"/>
    <w:rsid w:val="00591F1A"/>
    <w:rsid w:val="00594064"/>
    <w:rsid w:val="00597615"/>
    <w:rsid w:val="00597AF4"/>
    <w:rsid w:val="005A1437"/>
    <w:rsid w:val="005A4493"/>
    <w:rsid w:val="005A6BE8"/>
    <w:rsid w:val="005C0AD2"/>
    <w:rsid w:val="005C14AC"/>
    <w:rsid w:val="005C38AB"/>
    <w:rsid w:val="005C5693"/>
    <w:rsid w:val="005C7731"/>
    <w:rsid w:val="005D35C9"/>
    <w:rsid w:val="005D6367"/>
    <w:rsid w:val="005E24D9"/>
    <w:rsid w:val="005E5DF0"/>
    <w:rsid w:val="005E6D70"/>
    <w:rsid w:val="005F0A9A"/>
    <w:rsid w:val="005F1F1E"/>
    <w:rsid w:val="005F678D"/>
    <w:rsid w:val="005F7DA0"/>
    <w:rsid w:val="00602D56"/>
    <w:rsid w:val="00604CE4"/>
    <w:rsid w:val="0061106D"/>
    <w:rsid w:val="00611890"/>
    <w:rsid w:val="00612501"/>
    <w:rsid w:val="00613ADA"/>
    <w:rsid w:val="006208E7"/>
    <w:rsid w:val="0062134E"/>
    <w:rsid w:val="006226CB"/>
    <w:rsid w:val="00625759"/>
    <w:rsid w:val="00635A37"/>
    <w:rsid w:val="006365CD"/>
    <w:rsid w:val="006409C2"/>
    <w:rsid w:val="00641054"/>
    <w:rsid w:val="00642CD8"/>
    <w:rsid w:val="00643769"/>
    <w:rsid w:val="00650336"/>
    <w:rsid w:val="0065104A"/>
    <w:rsid w:val="00654564"/>
    <w:rsid w:val="006549D3"/>
    <w:rsid w:val="006573DF"/>
    <w:rsid w:val="00657E34"/>
    <w:rsid w:val="00663E2A"/>
    <w:rsid w:val="006650CD"/>
    <w:rsid w:val="00675165"/>
    <w:rsid w:val="00675B77"/>
    <w:rsid w:val="00675E15"/>
    <w:rsid w:val="00675EA7"/>
    <w:rsid w:val="006803D3"/>
    <w:rsid w:val="00683E43"/>
    <w:rsid w:val="0068465A"/>
    <w:rsid w:val="00684762"/>
    <w:rsid w:val="00684B24"/>
    <w:rsid w:val="00687484"/>
    <w:rsid w:val="006A2A4D"/>
    <w:rsid w:val="006A7398"/>
    <w:rsid w:val="006A7810"/>
    <w:rsid w:val="006B08CB"/>
    <w:rsid w:val="006B1AE8"/>
    <w:rsid w:val="006B1F53"/>
    <w:rsid w:val="006B3218"/>
    <w:rsid w:val="006B47E3"/>
    <w:rsid w:val="006C04E1"/>
    <w:rsid w:val="006C210D"/>
    <w:rsid w:val="006C263E"/>
    <w:rsid w:val="006C4F7E"/>
    <w:rsid w:val="006C54A0"/>
    <w:rsid w:val="006D2097"/>
    <w:rsid w:val="006D7BB1"/>
    <w:rsid w:val="006E06B1"/>
    <w:rsid w:val="006E1A1C"/>
    <w:rsid w:val="006E349B"/>
    <w:rsid w:val="006F4002"/>
    <w:rsid w:val="006F4530"/>
    <w:rsid w:val="00700EE4"/>
    <w:rsid w:val="00716937"/>
    <w:rsid w:val="00717052"/>
    <w:rsid w:val="00717993"/>
    <w:rsid w:val="00730B2B"/>
    <w:rsid w:val="00736579"/>
    <w:rsid w:val="00737491"/>
    <w:rsid w:val="007377FD"/>
    <w:rsid w:val="007423F7"/>
    <w:rsid w:val="00742D27"/>
    <w:rsid w:val="00745B0F"/>
    <w:rsid w:val="007468E3"/>
    <w:rsid w:val="00746994"/>
    <w:rsid w:val="00753CFB"/>
    <w:rsid w:val="00753FFD"/>
    <w:rsid w:val="00756640"/>
    <w:rsid w:val="00761A51"/>
    <w:rsid w:val="00770CBB"/>
    <w:rsid w:val="007713E0"/>
    <w:rsid w:val="0077379D"/>
    <w:rsid w:val="0077399D"/>
    <w:rsid w:val="00774C66"/>
    <w:rsid w:val="0078004C"/>
    <w:rsid w:val="00782258"/>
    <w:rsid w:val="00782BD5"/>
    <w:rsid w:val="00783F29"/>
    <w:rsid w:val="00784105"/>
    <w:rsid w:val="00784BFA"/>
    <w:rsid w:val="00785546"/>
    <w:rsid w:val="007871E4"/>
    <w:rsid w:val="00793A83"/>
    <w:rsid w:val="00795732"/>
    <w:rsid w:val="00795FB6"/>
    <w:rsid w:val="007963CD"/>
    <w:rsid w:val="00797100"/>
    <w:rsid w:val="007A02ED"/>
    <w:rsid w:val="007A4B82"/>
    <w:rsid w:val="007A5DF9"/>
    <w:rsid w:val="007A7D0A"/>
    <w:rsid w:val="007B0A86"/>
    <w:rsid w:val="007B209E"/>
    <w:rsid w:val="007B41AD"/>
    <w:rsid w:val="007B5C1B"/>
    <w:rsid w:val="007B76B8"/>
    <w:rsid w:val="007B7F31"/>
    <w:rsid w:val="007C2449"/>
    <w:rsid w:val="007C5FDC"/>
    <w:rsid w:val="007D0296"/>
    <w:rsid w:val="007D2D59"/>
    <w:rsid w:val="007D7DB0"/>
    <w:rsid w:val="007E1CBA"/>
    <w:rsid w:val="007E1FED"/>
    <w:rsid w:val="007E6599"/>
    <w:rsid w:val="007E778D"/>
    <w:rsid w:val="007F0E6B"/>
    <w:rsid w:val="007F158D"/>
    <w:rsid w:val="007F3073"/>
    <w:rsid w:val="00800270"/>
    <w:rsid w:val="00803B41"/>
    <w:rsid w:val="00806D9B"/>
    <w:rsid w:val="0081077C"/>
    <w:rsid w:val="00813CEC"/>
    <w:rsid w:val="00816580"/>
    <w:rsid w:val="00817D25"/>
    <w:rsid w:val="0082471E"/>
    <w:rsid w:val="00826629"/>
    <w:rsid w:val="00827E94"/>
    <w:rsid w:val="00830CEF"/>
    <w:rsid w:val="008366C5"/>
    <w:rsid w:val="00843D9C"/>
    <w:rsid w:val="00843FA3"/>
    <w:rsid w:val="0084451A"/>
    <w:rsid w:val="00846066"/>
    <w:rsid w:val="00846AEA"/>
    <w:rsid w:val="00846DAF"/>
    <w:rsid w:val="008470C1"/>
    <w:rsid w:val="00850008"/>
    <w:rsid w:val="00855BE7"/>
    <w:rsid w:val="00862C2B"/>
    <w:rsid w:val="0086402A"/>
    <w:rsid w:val="008656E7"/>
    <w:rsid w:val="008707EB"/>
    <w:rsid w:val="00874FCD"/>
    <w:rsid w:val="00876FCB"/>
    <w:rsid w:val="00877C76"/>
    <w:rsid w:val="0088444B"/>
    <w:rsid w:val="00886A5B"/>
    <w:rsid w:val="00887C6E"/>
    <w:rsid w:val="00894779"/>
    <w:rsid w:val="00895730"/>
    <w:rsid w:val="008A19CC"/>
    <w:rsid w:val="008A301D"/>
    <w:rsid w:val="008A71AF"/>
    <w:rsid w:val="008C0B2C"/>
    <w:rsid w:val="008C31E0"/>
    <w:rsid w:val="008C3748"/>
    <w:rsid w:val="008C5224"/>
    <w:rsid w:val="008D4B18"/>
    <w:rsid w:val="008D4FF6"/>
    <w:rsid w:val="008D5152"/>
    <w:rsid w:val="008D6E36"/>
    <w:rsid w:val="008D7CA8"/>
    <w:rsid w:val="008E09A3"/>
    <w:rsid w:val="008E11C5"/>
    <w:rsid w:val="008E5502"/>
    <w:rsid w:val="008F44ED"/>
    <w:rsid w:val="008F5F63"/>
    <w:rsid w:val="009012FB"/>
    <w:rsid w:val="009028CB"/>
    <w:rsid w:val="00911180"/>
    <w:rsid w:val="00914EC4"/>
    <w:rsid w:val="00915008"/>
    <w:rsid w:val="00917036"/>
    <w:rsid w:val="0092413A"/>
    <w:rsid w:val="00926AF1"/>
    <w:rsid w:val="00932A59"/>
    <w:rsid w:val="009337DD"/>
    <w:rsid w:val="009343D3"/>
    <w:rsid w:val="00934900"/>
    <w:rsid w:val="00937B55"/>
    <w:rsid w:val="00937EE0"/>
    <w:rsid w:val="00940D73"/>
    <w:rsid w:val="00942AF1"/>
    <w:rsid w:val="00942BC2"/>
    <w:rsid w:val="009474A3"/>
    <w:rsid w:val="009520D6"/>
    <w:rsid w:val="009554C0"/>
    <w:rsid w:val="009607AD"/>
    <w:rsid w:val="00961639"/>
    <w:rsid w:val="0096401E"/>
    <w:rsid w:val="009644B9"/>
    <w:rsid w:val="009652E6"/>
    <w:rsid w:val="0096562E"/>
    <w:rsid w:val="009677B6"/>
    <w:rsid w:val="00971041"/>
    <w:rsid w:val="009716B2"/>
    <w:rsid w:val="0097381D"/>
    <w:rsid w:val="0097536A"/>
    <w:rsid w:val="00980C35"/>
    <w:rsid w:val="00982E54"/>
    <w:rsid w:val="009837B1"/>
    <w:rsid w:val="009934B0"/>
    <w:rsid w:val="00994E2D"/>
    <w:rsid w:val="00996E68"/>
    <w:rsid w:val="009A2633"/>
    <w:rsid w:val="009A4037"/>
    <w:rsid w:val="009A45BC"/>
    <w:rsid w:val="009A49D9"/>
    <w:rsid w:val="009A5E04"/>
    <w:rsid w:val="009B0B25"/>
    <w:rsid w:val="009B132A"/>
    <w:rsid w:val="009B36E3"/>
    <w:rsid w:val="009B5BCB"/>
    <w:rsid w:val="009B6417"/>
    <w:rsid w:val="009B754E"/>
    <w:rsid w:val="009C0D7D"/>
    <w:rsid w:val="009C1250"/>
    <w:rsid w:val="009C33F5"/>
    <w:rsid w:val="009C4C42"/>
    <w:rsid w:val="009C7463"/>
    <w:rsid w:val="009C760E"/>
    <w:rsid w:val="009D3B09"/>
    <w:rsid w:val="009D4341"/>
    <w:rsid w:val="009D6EAC"/>
    <w:rsid w:val="009D6FF1"/>
    <w:rsid w:val="009D71C2"/>
    <w:rsid w:val="009D75F8"/>
    <w:rsid w:val="009E0556"/>
    <w:rsid w:val="009E4200"/>
    <w:rsid w:val="009E4C71"/>
    <w:rsid w:val="009E4C82"/>
    <w:rsid w:val="009E6314"/>
    <w:rsid w:val="009E65C2"/>
    <w:rsid w:val="009E7619"/>
    <w:rsid w:val="009F4CEB"/>
    <w:rsid w:val="009F571E"/>
    <w:rsid w:val="009F6553"/>
    <w:rsid w:val="009F6B07"/>
    <w:rsid w:val="00A0219A"/>
    <w:rsid w:val="00A0529B"/>
    <w:rsid w:val="00A0563B"/>
    <w:rsid w:val="00A07590"/>
    <w:rsid w:val="00A07845"/>
    <w:rsid w:val="00A07B04"/>
    <w:rsid w:val="00A21C4E"/>
    <w:rsid w:val="00A33695"/>
    <w:rsid w:val="00A33DBA"/>
    <w:rsid w:val="00A36E21"/>
    <w:rsid w:val="00A43A8C"/>
    <w:rsid w:val="00A5127C"/>
    <w:rsid w:val="00A55927"/>
    <w:rsid w:val="00A63984"/>
    <w:rsid w:val="00A67398"/>
    <w:rsid w:val="00A731E2"/>
    <w:rsid w:val="00A73D1B"/>
    <w:rsid w:val="00A742E7"/>
    <w:rsid w:val="00A75E7D"/>
    <w:rsid w:val="00A76229"/>
    <w:rsid w:val="00A822A0"/>
    <w:rsid w:val="00A83EA6"/>
    <w:rsid w:val="00A86298"/>
    <w:rsid w:val="00A87B4E"/>
    <w:rsid w:val="00A87D18"/>
    <w:rsid w:val="00A913E7"/>
    <w:rsid w:val="00A93DA9"/>
    <w:rsid w:val="00A9462E"/>
    <w:rsid w:val="00A96A49"/>
    <w:rsid w:val="00AA19AC"/>
    <w:rsid w:val="00AA7F2A"/>
    <w:rsid w:val="00AB4059"/>
    <w:rsid w:val="00AB4388"/>
    <w:rsid w:val="00AB5928"/>
    <w:rsid w:val="00AB5CBE"/>
    <w:rsid w:val="00AB6F3C"/>
    <w:rsid w:val="00AC24DC"/>
    <w:rsid w:val="00AC729D"/>
    <w:rsid w:val="00AD203E"/>
    <w:rsid w:val="00AD51BC"/>
    <w:rsid w:val="00AE04B2"/>
    <w:rsid w:val="00AE22F5"/>
    <w:rsid w:val="00AE50AD"/>
    <w:rsid w:val="00AE74FC"/>
    <w:rsid w:val="00AF54D3"/>
    <w:rsid w:val="00B0026F"/>
    <w:rsid w:val="00B01E3C"/>
    <w:rsid w:val="00B02322"/>
    <w:rsid w:val="00B06F0A"/>
    <w:rsid w:val="00B10F0A"/>
    <w:rsid w:val="00B139B9"/>
    <w:rsid w:val="00B14367"/>
    <w:rsid w:val="00B21BF4"/>
    <w:rsid w:val="00B233D8"/>
    <w:rsid w:val="00B236CE"/>
    <w:rsid w:val="00B36058"/>
    <w:rsid w:val="00B4057A"/>
    <w:rsid w:val="00B406F6"/>
    <w:rsid w:val="00B514E1"/>
    <w:rsid w:val="00B51DEA"/>
    <w:rsid w:val="00B53E19"/>
    <w:rsid w:val="00B54023"/>
    <w:rsid w:val="00B5683E"/>
    <w:rsid w:val="00B57CAF"/>
    <w:rsid w:val="00B6115B"/>
    <w:rsid w:val="00B6573C"/>
    <w:rsid w:val="00B66578"/>
    <w:rsid w:val="00B74BCA"/>
    <w:rsid w:val="00B77123"/>
    <w:rsid w:val="00B772FE"/>
    <w:rsid w:val="00B801DA"/>
    <w:rsid w:val="00B840F4"/>
    <w:rsid w:val="00B90034"/>
    <w:rsid w:val="00B913A7"/>
    <w:rsid w:val="00B916A1"/>
    <w:rsid w:val="00B9329C"/>
    <w:rsid w:val="00B941A5"/>
    <w:rsid w:val="00B95F0C"/>
    <w:rsid w:val="00BA0BBC"/>
    <w:rsid w:val="00BA3F1C"/>
    <w:rsid w:val="00BA613A"/>
    <w:rsid w:val="00BB2211"/>
    <w:rsid w:val="00BB31E2"/>
    <w:rsid w:val="00BC0E3F"/>
    <w:rsid w:val="00BC5A58"/>
    <w:rsid w:val="00BC6CA6"/>
    <w:rsid w:val="00BD0520"/>
    <w:rsid w:val="00BD1B82"/>
    <w:rsid w:val="00BD6097"/>
    <w:rsid w:val="00BE1183"/>
    <w:rsid w:val="00BE19F9"/>
    <w:rsid w:val="00BF3B3C"/>
    <w:rsid w:val="00BF5930"/>
    <w:rsid w:val="00C022E0"/>
    <w:rsid w:val="00C02366"/>
    <w:rsid w:val="00C03F93"/>
    <w:rsid w:val="00C0672F"/>
    <w:rsid w:val="00C06EEB"/>
    <w:rsid w:val="00C11D5C"/>
    <w:rsid w:val="00C11E9F"/>
    <w:rsid w:val="00C12BA0"/>
    <w:rsid w:val="00C16288"/>
    <w:rsid w:val="00C1787A"/>
    <w:rsid w:val="00C17A78"/>
    <w:rsid w:val="00C213B3"/>
    <w:rsid w:val="00C22C4D"/>
    <w:rsid w:val="00C25938"/>
    <w:rsid w:val="00C26F63"/>
    <w:rsid w:val="00C27319"/>
    <w:rsid w:val="00C30A1A"/>
    <w:rsid w:val="00C3397A"/>
    <w:rsid w:val="00C428F9"/>
    <w:rsid w:val="00C43082"/>
    <w:rsid w:val="00C45AF1"/>
    <w:rsid w:val="00C46CE5"/>
    <w:rsid w:val="00C51A09"/>
    <w:rsid w:val="00C53823"/>
    <w:rsid w:val="00C620F1"/>
    <w:rsid w:val="00C62BE1"/>
    <w:rsid w:val="00C650F9"/>
    <w:rsid w:val="00C67454"/>
    <w:rsid w:val="00C700F5"/>
    <w:rsid w:val="00C71064"/>
    <w:rsid w:val="00C74127"/>
    <w:rsid w:val="00C75BA1"/>
    <w:rsid w:val="00C85A16"/>
    <w:rsid w:val="00C85B55"/>
    <w:rsid w:val="00C85DE4"/>
    <w:rsid w:val="00C85F21"/>
    <w:rsid w:val="00C868B1"/>
    <w:rsid w:val="00C8714A"/>
    <w:rsid w:val="00C91973"/>
    <w:rsid w:val="00C92668"/>
    <w:rsid w:val="00C938C5"/>
    <w:rsid w:val="00C94ABC"/>
    <w:rsid w:val="00C95BB7"/>
    <w:rsid w:val="00C96B54"/>
    <w:rsid w:val="00CA128E"/>
    <w:rsid w:val="00CA37C1"/>
    <w:rsid w:val="00CA4C7E"/>
    <w:rsid w:val="00CA6E44"/>
    <w:rsid w:val="00CB1237"/>
    <w:rsid w:val="00CB3ECF"/>
    <w:rsid w:val="00CB5342"/>
    <w:rsid w:val="00CC274F"/>
    <w:rsid w:val="00CC34A1"/>
    <w:rsid w:val="00CC35AE"/>
    <w:rsid w:val="00CD7BD0"/>
    <w:rsid w:val="00CE14DE"/>
    <w:rsid w:val="00CE5CDC"/>
    <w:rsid w:val="00CE7A0F"/>
    <w:rsid w:val="00CE7E1A"/>
    <w:rsid w:val="00CF214A"/>
    <w:rsid w:val="00CF2705"/>
    <w:rsid w:val="00CF39EC"/>
    <w:rsid w:val="00CF4B1D"/>
    <w:rsid w:val="00D002FC"/>
    <w:rsid w:val="00D003A3"/>
    <w:rsid w:val="00D04825"/>
    <w:rsid w:val="00D058CE"/>
    <w:rsid w:val="00D07DEC"/>
    <w:rsid w:val="00D11D23"/>
    <w:rsid w:val="00D12059"/>
    <w:rsid w:val="00D12E3E"/>
    <w:rsid w:val="00D22B6E"/>
    <w:rsid w:val="00D237C4"/>
    <w:rsid w:val="00D25451"/>
    <w:rsid w:val="00D311BD"/>
    <w:rsid w:val="00D31601"/>
    <w:rsid w:val="00D366AB"/>
    <w:rsid w:val="00D41E1D"/>
    <w:rsid w:val="00D52E88"/>
    <w:rsid w:val="00D565E0"/>
    <w:rsid w:val="00D609B4"/>
    <w:rsid w:val="00D66B17"/>
    <w:rsid w:val="00D678E3"/>
    <w:rsid w:val="00D73A9A"/>
    <w:rsid w:val="00D80B89"/>
    <w:rsid w:val="00D80E98"/>
    <w:rsid w:val="00D822A5"/>
    <w:rsid w:val="00D8469E"/>
    <w:rsid w:val="00D86E6F"/>
    <w:rsid w:val="00D871A4"/>
    <w:rsid w:val="00D877CB"/>
    <w:rsid w:val="00D90279"/>
    <w:rsid w:val="00D934E3"/>
    <w:rsid w:val="00D96124"/>
    <w:rsid w:val="00D9628F"/>
    <w:rsid w:val="00DA1C86"/>
    <w:rsid w:val="00DA2863"/>
    <w:rsid w:val="00DA420C"/>
    <w:rsid w:val="00DA486D"/>
    <w:rsid w:val="00DA518D"/>
    <w:rsid w:val="00DA74EE"/>
    <w:rsid w:val="00DB11EF"/>
    <w:rsid w:val="00DB2982"/>
    <w:rsid w:val="00DB368D"/>
    <w:rsid w:val="00DB3BFA"/>
    <w:rsid w:val="00DB3CCE"/>
    <w:rsid w:val="00DB488E"/>
    <w:rsid w:val="00DB4D27"/>
    <w:rsid w:val="00DB6FF3"/>
    <w:rsid w:val="00DB7B65"/>
    <w:rsid w:val="00DD0104"/>
    <w:rsid w:val="00DD5730"/>
    <w:rsid w:val="00DD5EC0"/>
    <w:rsid w:val="00DD6C57"/>
    <w:rsid w:val="00DD787E"/>
    <w:rsid w:val="00DF2A36"/>
    <w:rsid w:val="00DF3DD4"/>
    <w:rsid w:val="00DF5CD3"/>
    <w:rsid w:val="00E00686"/>
    <w:rsid w:val="00E01910"/>
    <w:rsid w:val="00E023D5"/>
    <w:rsid w:val="00E0444D"/>
    <w:rsid w:val="00E15D2F"/>
    <w:rsid w:val="00E17A6E"/>
    <w:rsid w:val="00E211AA"/>
    <w:rsid w:val="00E22101"/>
    <w:rsid w:val="00E27B55"/>
    <w:rsid w:val="00E33FA3"/>
    <w:rsid w:val="00E34346"/>
    <w:rsid w:val="00E429E1"/>
    <w:rsid w:val="00E50314"/>
    <w:rsid w:val="00E570CC"/>
    <w:rsid w:val="00E57BDA"/>
    <w:rsid w:val="00E6598B"/>
    <w:rsid w:val="00E65E00"/>
    <w:rsid w:val="00E66027"/>
    <w:rsid w:val="00E703C1"/>
    <w:rsid w:val="00E8677C"/>
    <w:rsid w:val="00E86BBC"/>
    <w:rsid w:val="00E87E25"/>
    <w:rsid w:val="00E920EF"/>
    <w:rsid w:val="00E926FA"/>
    <w:rsid w:val="00E93D18"/>
    <w:rsid w:val="00E9585B"/>
    <w:rsid w:val="00EA1159"/>
    <w:rsid w:val="00EA41E9"/>
    <w:rsid w:val="00EA719F"/>
    <w:rsid w:val="00EB3DE6"/>
    <w:rsid w:val="00EB6B61"/>
    <w:rsid w:val="00EC25A8"/>
    <w:rsid w:val="00EC34EA"/>
    <w:rsid w:val="00EC5F84"/>
    <w:rsid w:val="00ED1D79"/>
    <w:rsid w:val="00ED2E9D"/>
    <w:rsid w:val="00ED55BB"/>
    <w:rsid w:val="00ED6001"/>
    <w:rsid w:val="00EE0F48"/>
    <w:rsid w:val="00EE1511"/>
    <w:rsid w:val="00EE1BF5"/>
    <w:rsid w:val="00EF0B11"/>
    <w:rsid w:val="00EF2F73"/>
    <w:rsid w:val="00EF3144"/>
    <w:rsid w:val="00F077F6"/>
    <w:rsid w:val="00F07D42"/>
    <w:rsid w:val="00F10A7E"/>
    <w:rsid w:val="00F134C8"/>
    <w:rsid w:val="00F140A9"/>
    <w:rsid w:val="00F16533"/>
    <w:rsid w:val="00F170DD"/>
    <w:rsid w:val="00F2084D"/>
    <w:rsid w:val="00F24CF7"/>
    <w:rsid w:val="00F25B25"/>
    <w:rsid w:val="00F33217"/>
    <w:rsid w:val="00F3391B"/>
    <w:rsid w:val="00F42317"/>
    <w:rsid w:val="00F44F66"/>
    <w:rsid w:val="00F468F5"/>
    <w:rsid w:val="00F5238B"/>
    <w:rsid w:val="00F5519A"/>
    <w:rsid w:val="00F55A01"/>
    <w:rsid w:val="00F60C47"/>
    <w:rsid w:val="00F61EA3"/>
    <w:rsid w:val="00F62A33"/>
    <w:rsid w:val="00F66CF4"/>
    <w:rsid w:val="00F74377"/>
    <w:rsid w:val="00F757F1"/>
    <w:rsid w:val="00F80D33"/>
    <w:rsid w:val="00F8203E"/>
    <w:rsid w:val="00F9045E"/>
    <w:rsid w:val="00F92906"/>
    <w:rsid w:val="00F932FD"/>
    <w:rsid w:val="00F96AD0"/>
    <w:rsid w:val="00FA487D"/>
    <w:rsid w:val="00FB057B"/>
    <w:rsid w:val="00FB7265"/>
    <w:rsid w:val="00FB7FFB"/>
    <w:rsid w:val="00FC1CBC"/>
    <w:rsid w:val="00FC2752"/>
    <w:rsid w:val="00FC4A28"/>
    <w:rsid w:val="00FD277C"/>
    <w:rsid w:val="00FD29C5"/>
    <w:rsid w:val="00FD30F5"/>
    <w:rsid w:val="00FD6D59"/>
    <w:rsid w:val="00FE0B95"/>
    <w:rsid w:val="00FE14E7"/>
    <w:rsid w:val="00FE1951"/>
    <w:rsid w:val="00FE1C72"/>
    <w:rsid w:val="00FE31FC"/>
    <w:rsid w:val="00FE65E6"/>
    <w:rsid w:val="00FF25D3"/>
    <w:rsid w:val="00FF6CC6"/>
    <w:rsid w:val="00FF741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B1A178E5-15E7-4BB8-BABD-FC1F4D79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character" w:styleId="CommentReference">
    <w:name w:val="annotation reference"/>
    <w:uiPriority w:val="99"/>
    <w:unhideWhenUsed/>
    <w:rsid w:val="000F78F1"/>
    <w:rPr>
      <w:sz w:val="16"/>
      <w:szCs w:val="16"/>
    </w:rPr>
  </w:style>
  <w:style w:type="paragraph" w:styleId="CommentSubject">
    <w:name w:val="annotation subject"/>
    <w:basedOn w:val="CommentText"/>
    <w:next w:val="CommentText"/>
    <w:link w:val="CommentSubjectChar"/>
    <w:uiPriority w:val="99"/>
    <w:semiHidden/>
    <w:unhideWhenUsed/>
    <w:rsid w:val="000F78F1"/>
    <w:pPr>
      <w:spacing w:after="160"/>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0F78F1"/>
    <w:rPr>
      <w:rFonts w:ascii="Calibri" w:eastAsia="Calibri" w:hAnsi="Calibri" w:cs="Arial"/>
      <w:b/>
      <w:bCs/>
      <w:sz w:val="20"/>
      <w:szCs w:val="20"/>
      <w:lang w:eastAsia="en-US"/>
    </w:rPr>
  </w:style>
  <w:style w:type="character" w:customStyle="1" w:styleId="normaltextrun">
    <w:name w:val="normaltextrun"/>
    <w:basedOn w:val="DefaultParagraphFont"/>
    <w:rsid w:val="000F78F1"/>
  </w:style>
  <w:style w:type="paragraph" w:customStyle="1" w:styleId="paragraph">
    <w:name w:val="paragraph"/>
    <w:basedOn w:val="Normal"/>
    <w:rsid w:val="000F78F1"/>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eop">
    <w:name w:val="eop"/>
    <w:basedOn w:val="DefaultParagraphFont"/>
    <w:rsid w:val="000F78F1"/>
  </w:style>
  <w:style w:type="character" w:customStyle="1" w:styleId="scxw83001720">
    <w:name w:val="scxw83001720"/>
    <w:basedOn w:val="DefaultParagraphFont"/>
    <w:rsid w:val="000F78F1"/>
  </w:style>
  <w:style w:type="character" w:customStyle="1" w:styleId="scxw42252920">
    <w:name w:val="scxw42252920"/>
    <w:basedOn w:val="DefaultParagraphFont"/>
    <w:rsid w:val="000F78F1"/>
  </w:style>
  <w:style w:type="character" w:customStyle="1" w:styleId="pagebreaktextspan">
    <w:name w:val="pagebreaktextspan"/>
    <w:basedOn w:val="DefaultParagraphFont"/>
    <w:rsid w:val="000F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2385">
      <w:bodyDiv w:val="1"/>
      <w:marLeft w:val="0"/>
      <w:marRight w:val="0"/>
      <w:marTop w:val="0"/>
      <w:marBottom w:val="0"/>
      <w:divBdr>
        <w:top w:val="none" w:sz="0" w:space="0" w:color="auto"/>
        <w:left w:val="none" w:sz="0" w:space="0" w:color="auto"/>
        <w:bottom w:val="none" w:sz="0" w:space="0" w:color="auto"/>
        <w:right w:val="none" w:sz="0" w:space="0" w:color="auto"/>
      </w:divBdr>
    </w:div>
    <w:div w:id="460079222">
      <w:bodyDiv w:val="1"/>
      <w:marLeft w:val="0"/>
      <w:marRight w:val="0"/>
      <w:marTop w:val="0"/>
      <w:marBottom w:val="0"/>
      <w:divBdr>
        <w:top w:val="none" w:sz="0" w:space="0" w:color="auto"/>
        <w:left w:val="none" w:sz="0" w:space="0" w:color="auto"/>
        <w:bottom w:val="none" w:sz="0" w:space="0" w:color="auto"/>
        <w:right w:val="none" w:sz="0" w:space="0" w:color="auto"/>
      </w:divBdr>
    </w:div>
    <w:div w:id="528763402">
      <w:bodyDiv w:val="1"/>
      <w:marLeft w:val="0"/>
      <w:marRight w:val="0"/>
      <w:marTop w:val="0"/>
      <w:marBottom w:val="0"/>
      <w:divBdr>
        <w:top w:val="none" w:sz="0" w:space="0" w:color="auto"/>
        <w:left w:val="none" w:sz="0" w:space="0" w:color="auto"/>
        <w:bottom w:val="none" w:sz="0" w:space="0" w:color="auto"/>
        <w:right w:val="none" w:sz="0" w:space="0" w:color="auto"/>
      </w:divBdr>
    </w:div>
    <w:div w:id="646783834">
      <w:bodyDiv w:val="1"/>
      <w:marLeft w:val="0"/>
      <w:marRight w:val="0"/>
      <w:marTop w:val="0"/>
      <w:marBottom w:val="0"/>
      <w:divBdr>
        <w:top w:val="none" w:sz="0" w:space="0" w:color="auto"/>
        <w:left w:val="none" w:sz="0" w:space="0" w:color="auto"/>
        <w:bottom w:val="none" w:sz="0" w:space="0" w:color="auto"/>
        <w:right w:val="none" w:sz="0" w:space="0" w:color="auto"/>
      </w:divBdr>
    </w:div>
    <w:div w:id="648750037">
      <w:bodyDiv w:val="1"/>
      <w:marLeft w:val="0"/>
      <w:marRight w:val="0"/>
      <w:marTop w:val="0"/>
      <w:marBottom w:val="0"/>
      <w:divBdr>
        <w:top w:val="none" w:sz="0" w:space="0" w:color="auto"/>
        <w:left w:val="none" w:sz="0" w:space="0" w:color="auto"/>
        <w:bottom w:val="none" w:sz="0" w:space="0" w:color="auto"/>
        <w:right w:val="none" w:sz="0" w:space="0" w:color="auto"/>
      </w:divBdr>
    </w:div>
    <w:div w:id="797450207">
      <w:bodyDiv w:val="1"/>
      <w:marLeft w:val="0"/>
      <w:marRight w:val="0"/>
      <w:marTop w:val="0"/>
      <w:marBottom w:val="0"/>
      <w:divBdr>
        <w:top w:val="none" w:sz="0" w:space="0" w:color="auto"/>
        <w:left w:val="none" w:sz="0" w:space="0" w:color="auto"/>
        <w:bottom w:val="none" w:sz="0" w:space="0" w:color="auto"/>
        <w:right w:val="none" w:sz="0" w:space="0" w:color="auto"/>
      </w:divBdr>
    </w:div>
    <w:div w:id="874078318">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3E08-7269-4CF7-80E1-134F3E3210FE}">
  <ds:schemaRefs>
    <ds:schemaRef ds:uri="http://schemas.microsoft.com/sharepoint/v3/contenttype/forms"/>
  </ds:schemaRefs>
</ds:datastoreItem>
</file>

<file path=customXml/itemProps2.xml><?xml version="1.0" encoding="utf-8"?>
<ds:datastoreItem xmlns:ds="http://schemas.openxmlformats.org/officeDocument/2006/customXml" ds:itemID="{5C10F700-F3D6-4506-8FF6-CA3A85CDC8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F09D9-5F95-489C-86EF-DA08EC096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3</TotalTime>
  <Pages>24</Pages>
  <Words>8196</Words>
  <Characters>46721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Gorman, Dave</cp:lastModifiedBy>
  <cp:revision>3</cp:revision>
  <cp:lastPrinted>2022-08-16T14:56:00Z</cp:lastPrinted>
  <dcterms:created xsi:type="dcterms:W3CDTF">2023-01-25T11:47:00Z</dcterms:created>
  <dcterms:modified xsi:type="dcterms:W3CDTF">2023-01-25T12:00:00Z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